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Ecosystems, watersheds and water rights in Cajamarca, Peru</w:t>
      </w:r>
    </w:p>
    <w:p>
      <w:hyperlink r:id="rId7" w:history="1">
        <w:r>
          <w:rPr>
            <w:color w:val="1d4ed8"/>
            <w:u w:val="single"/>
          </w:rPr>
          <w:t xml:space="preserve">https://doi.org/10.1080/27706869.2024.2334533</w:t>
        </w:r>
      </w:hyperlink>
    </w:p>
    <w:p/>
    <w:p/>
    <w:p>
      <w:pPr/>
      <w:r>
        <w:rPr>
          <w:rStyle w:val="rStyle"/>
        </w:rPr>
        <w:t xml:space="preserve">Intérprete</w:t>
      </w:r>
    </w:p>
    <w:p>
      <w:pPr/>
      <w:r>
        <w:rPr/>
        <w:t xml:space="preserve">Rey Céspedes Viviana Jusset</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artículo analiza cómo el conflicto socioambiental generado por la minería a gran escala (específicamente la mina La Zanja) en la provincia de Santa Cruz (Cajamarca) transformó el contenido y alcance de los derechos locales sobre el agua. Frente a la contaminación, la alteración de las fuentes hídricas y las asimetrías de poder entre actores, agricultores y rondas campesinas ampliaron su concepción funcional de los derechos de agua —centrada en el riego— hacia una concepción fundacional que abarca la totalidad del ecosistema y la cuenca hidrográfica. En este proceso, el agua dejó de entenderse únicamente como un recurso productivo para ser concebida como parte de un sistema ecológico que requiere protección. Esta transformación fue resultado de un “ensamblaje” entre saberes locales andinos y discursos jurídicos nacionales e internacionales, incluyendo el enfoque de cuenca, la gestión integrada de los recursos hídricos (GIRH) establecida en la Ley de Recursos Hídricos N.° 29338 y el derecho a la consulta previa reconocido en el Convenio 169 de la OIT. El estudio concluye que los conflictos socioambientales pueden tener un carácter productivo, al generar nuevas formas jurídicas y ampliar el objeto de protección desde el agua como recurso hacia el agua como naturaleza. Asimismo, evidencia que la limitada respuesta del Estado peruano frente a las demandas locales no solo intensificó la resistencia comunitaria, sino que también contribuyó a la transformación del significado y contenido de los derechos de agua. Finalmente, el caso demuestra que los derechos de agua no son estáticos, sino que se configuran dinámicamente en función de relaciones de poder y contextos históricos específicos, lo que resalta el carácter relacional del derecho en contextos de pluralismo jurídico.</w:t>
      </w:r>
    </w:p>
    <w:p/>
    <w:p>
      <w:pPr/>
      <w:r>
        <w:rPr>
          <w:rStyle w:val="rStyle"/>
        </w:rPr>
        <w:t xml:space="preserve">Metodología y datos</w:t>
      </w:r>
    </w:p>
    <w:p>
      <w:pPr/>
      <w:r>
        <w:rPr/>
        <w:t xml:space="preserve">La investigación adopta un enfoque cualitativo desde la perspectiva del pluralismo jurídico, a partir de un estudio de caso centrado en el conflicto socioambiental en la provincia de Santa Cruz (Cajamarca). Analiza la relación entre derechos de agua, ecosistemas y extractivismo en un contexto de disputas territoriales. El estudio se sustenta en una combinación de métodos, incluyendo entrevistas a expertos, observación de campo y revisión de fuentes documentales, tales como archivos gubernamentales, informes de organizaciones sociales y no gubernamentales, así como literatura académica especializada. El análisis emplea el concepto de assemblage de Moore (2005) para examinar cómo las comunidades articulan de manera provisional elementos heterogéneos —normas consuetudinarias, legislación nacional e instrumentos jurídicos internacionales— en la construcción de formas emergentes de protección del agua. El marco teórico integra el enfoque relacional del derecho, la antropología jurídica andina y la teoría de los derechos de la naturaleza, apoyándose en autores como Benda-Beckmann et al. (1997), Boelens (2008) y Gudynas (2014). Asimismo, se realiza una reconstrucción cronológica del conflicto (2001–2017), lo que permite analizar la evolución diacrónica de los derechos hídricos locales frente a la presión extractiva.</w:t>
      </w:r>
    </w:p>
    <w:p/>
    <w:p>
      <w:pPr/>
      <w:r>
        <w:rPr>
          <w:rStyle w:val="rStyle"/>
        </w:rPr>
        <w:t xml:space="preserve">Limitaciones de la investigación</w:t>
      </w:r>
    </w:p>
    <w:p>
      <w:pPr/>
      <w:r>
        <w:rPr/>
        <w:t xml:space="preserve">El estudio se circunscribe a un caso específico dentro del departamento de Cajamarca, lo que limita la generalización directa de sus hallazgos a otros contextos mineros del Perú o de América Latina. El análisis es predominantemente cualitativo y se basa en fuentes documentales y testimonios, sin incluir trabajo etnográfico prolongado ni mediciones hidrológicas independientes. Asimismo, se advierte que las representaciones idealizadas de las comunidades locales como “guardianas de los ecosistemas” pueden simplificar la complejidad de las relaciones socioecológicas. En este sentido, una aproximación histórica más profunda a la normatividad local permitiría comprender mejor la dinámica diacrónica del pluralismo jurídico.</w:t>
      </w:r>
    </w:p>
    <w:p/>
    <w:p>
      <w:pPr/>
      <w:r>
        <w:rPr>
          <w:rStyle w:val="rStyle"/>
        </w:rPr>
        <w:t xml:space="preserve">Recomendaciones</w:t>
      </w:r>
    </w:p>
    <w:p>
      <w:pPr/>
      <w:r>
        <w:rPr/>
        <w:t xml:space="preserve">Se recomienda reconocer la interdependencia entre el agua, los ecosistemas y las cuencas hidrográficas en los instrumentos de planificación territorial y gestión ambiental a nivel local y regional. Asimismo, es fundamental fortalecer los mecanismos de consulta previa y la participación efectiva de comunidades campesinas y rondas en los procesos de evaluación ambiental. Se sugiere promover el reconocimiento de los usos consuetudinarios del agua —incluyendo la agricultura de secano, el pastoreo y el consumo doméstico—, así como implementar mecanismos de monitoreo participativo de la calidad del agua que involucren a los usuarios a lo largo de toda la cuenca. Para el contexto de Cajamarca, este enfoque resulta especialmente relevante para anticipar y gestionar conflictos en territorios con coexistencia de actividad minera, comunidades campesinas y usuarios aguas abajo, articulando escalas locales, regionales y de cuenca en la gobernanza del agua y la biodiversidad.</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Santa Cruz,  Cajamarca</w:t>
      </w:r>
    </w:p>
    <w:p/>
    <w:p>
      <w:pPr/>
      <w:r>
        <w:rPr>
          <w:rStyle w:val="rStyle"/>
        </w:rPr>
        <w:t xml:space="preserve">Palabras clave:</w:t>
      </w:r>
    </w:p>
    <w:p>
      <w:pPr/>
      <w:r>
        <w:rPr/>
        <w:t xml:space="preserve">ecosistemas, derechos sobre el agua, minería, cuencas hidrográficas, Andes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27706869.2024.23345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2026-05-18T16:15:51-05:00</dcterms:created>
  <dcterms:modified xsi:type="dcterms:W3CDTF">2026-05-18T16:15:51-05:00</dcterms:modified>
</cp:coreProperties>
</file>

<file path=docProps/custom.xml><?xml version="1.0" encoding="utf-8"?>
<Properties xmlns="http://schemas.openxmlformats.org/officeDocument/2006/custom-properties" xmlns:vt="http://schemas.openxmlformats.org/officeDocument/2006/docPropsVTypes"/>
</file>