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El porcentaje de humedad del suelo (hasta los 5cm de profundidad) con duración de entre 3 y 7 días pueden humedecer el suelo en hasta 2% sobre la región de los Andes tropicales (por encima de los 2000 msnm y desde el Ecuador hasta los 18°S). El tiempo promedio que el suelo sufre un aumento luego de la ocurrencia de un evento depende directamente de la duración del evento y varia entre 5 y 10 días. En particular para la zona sur del Perú, pasado ese periodo, la humedad puede permanecer ligeramente por encima de lo normal para aquellos evento de 5 y 7 días de duración. La actividad vegetativa también suele tener un comportamiento similar, es decir aumento en relación directa con la duración del evento y la persistencia de la humedad en el suelo.</w:t>
      </w:r>
    </w:p>
    <w:p/>
    <w:p>
      <w:pPr/>
      <w:r>
        <w:rPr>
          <w:rStyle w:val="rStyle"/>
        </w:rPr>
        <w:t xml:space="preserve">Metodología y datos</w:t>
      </w:r>
    </w:p>
    <w:p>
      <w:pPr/>
      <w:r>
        <w:rPr/>
        <w:t xml:space="preserve">Se usaron datos de precipitación de CHIRPS. Para ver las fluctuaciones en la humedad del suelo y cambios en la actividad vegetativa se utilizaron datos de "ESA CCI combined daily soil moisture" , "X-band microwave vegetation optical depth".</w:t>
      </w:r>
    </w:p>
    <w:p/>
    <w:p>
      <w:pPr/>
      <w:r>
        <w:rPr>
          <w:rStyle w:val="rStyle"/>
        </w:rPr>
        <w:t xml:space="preserve">Limitaciones de la investigación</w:t>
      </w:r>
    </w:p>
    <w:p>
      <w:pPr/>
      <w:r>
        <w:rPr/>
        <w:t xml:space="preserve">Se podrían ampliar el análisis a las zonas más bajas del lado este de los Andes tropicales.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Cajamarca,  San Martín,   Región La Libertad,  Región Huánuco,  Región Ancash,  Región Pasco,  Región Lima,  Región Junin,  Región Huancavelica,  Región Ayacucho,  Región Apurimac,  Región Cusco,  Región Puno,  Región Arequipa,  Región Moquegua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2026-05-18T13:37:00-05:00</dcterms:created>
  <dcterms:modified xsi:type="dcterms:W3CDTF">2026-05-18T13:37:00-05:00</dcterms:modified>
</cp:coreProperties>
</file>

<file path=docProps/custom.xml><?xml version="1.0" encoding="utf-8"?>
<Properties xmlns="http://schemas.openxmlformats.org/officeDocument/2006/custom-properties" xmlns:vt="http://schemas.openxmlformats.org/officeDocument/2006/docPropsVTypes"/>
</file>