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Intensive field sampling increases the known extent of carbon-rich Amazonian peatland pole forests</w:t>
      </w:r>
    </w:p>
    <w:p>
      <w:hyperlink r:id="rId7" w:history="1">
        <w:r>
          <w:rPr>
            <w:color w:val="1d4ed8"/>
            <w:u w:val="single"/>
          </w:rPr>
          <w:t xml:space="preserve">https://doi.org/10.1088/1748-9326/ac0e65</w:t>
        </w:r>
      </w:hyperlink>
    </w:p>
    <w:p/>
    <w:p/>
    <w:p>
      <w:pPr/>
      <w:r>
        <w:rPr>
          <w:rStyle w:val="rStyle"/>
        </w:rPr>
        <w:t xml:space="preserve">Intérprete</w:t>
      </w:r>
    </w:p>
    <w:p>
      <w:pPr/>
      <w:r>
        <w:rPr/>
        <w:t xml:space="preserve">Honorio Coronado Euridice N.</w:t>
      </w:r>
    </w:p>
    <w:p/>
    <w:p>
      <w:pPr/>
      <w:r>
        <w:rPr>
          <w:rStyle w:val="rStyle"/>
        </w:rPr>
        <w:t xml:space="preserve">Revisor(a)</w:t>
      </w:r>
    </w:p>
    <w:p>
      <w:pPr/>
      <w:r>
        <w:rPr/>
        <w:t xml:space="preserve"/>
      </w:r>
    </w:p>
    <w:p/>
    <w:p>
      <w:pPr/>
      <w:r>
        <w:rPr>
          <w:rStyle w:val="rStyle"/>
        </w:rPr>
        <w:t xml:space="preserve">Resultados y conclusiones</w:t>
      </w:r>
    </w:p>
    <w:p>
      <w:pPr/>
      <w:r>
        <w:rPr/>
        <w:t xml:space="preserve">El estudio modela la distribución de los varillales hidromórficos y muestra que estos ecosistemas de turberas son florísticamente distintivos y están dominados por especies leñosas como Pachira nitida (Malvaceae), Platycarpum loretense (Rubiaceae) y Hevea guianensis (Euphorbiaceae). Mauritia flexuosa (Arecaceae) esta presente en los varillales hidromórficos pero no es tan abundante como en otros ecosistemas de turberas denominados pantanos de palmeras y pantanos abiertos. Los varillales hidromórficos tienen un alto espesor de turba (274 ± 22 cm, media ± 95 % IC, n = 184) similar a los pantanos abiertos (282 ± 46 cm, n = 46), y mayor a los pantanos de palmeras (161 ± 17 cm, n = 220), mientras el bosque inundado estacionalmente, tierra firme y bosque de arena blanca no presentan turba. Como resultado, los varillales hidromórficos tienen una densidad de carbono excepcional (1133 ± 93 Mg C ha−1). Los nuevos sitios de muestreo amplían la distribución conocida de varillales hidromórficos en un 61% dentro de la cuenca del Pastaza-Marañón, principalmente a lo largo del río Tigre, para cubrir un total de 7540 km2 en el norte de la Amazonía peruana. Sin embargo, solo el 15% de los varillales hidromórficos se encuentra dentro de un área protegida, mientras que un 26% adicional se encuentra dentro de territorios indígenas. Los bajos niveles de protección y degradación forestal, pero la alta amenaza de los proyectos de infraestructura, hacen de la cuenca del río Tigre una prioridad para la conservación.</w:t>
      </w:r>
    </w:p>
    <w:p/>
    <w:p>
      <w:pPr/>
      <w:r>
        <w:rPr>
          <w:rStyle w:val="rStyle"/>
        </w:rPr>
        <w:t xml:space="preserve">Metodología y datos</w:t>
      </w:r>
    </w:p>
    <w:p>
      <w:pPr/>
      <w:r>
        <w:rPr/>
        <w:t xml:space="preserve">El estudio muestra la variación en la composición florística, el espesor de la turba y la cantidad de carbono almacenado por encima y por debajo del suelo de 102 parcelas forestales y 53 transectos en el norte de la Amazonía peruana. Este gran conjunto de datos incluye 571 puntos de referencia terrestres de mediciones de espesor de turba en seis tipos de ecosistemas. Los datos de campo se usaron para generar una nueva clasificación de cobertura terrestre basada en múltiples productos satelitales usando una clasificación aleatoria de bosques.</w:t>
      </w:r>
    </w:p>
    <w:p/>
    <w:p>
      <w:pPr/>
      <w:r>
        <w:rPr>
          <w:rStyle w:val="rStyle"/>
        </w:rPr>
        <w:t xml:space="preserve">Limitaciones de la investigación</w:t>
      </w:r>
    </w:p>
    <w:p>
      <w:pPr/>
      <w:r>
        <w:rPr/>
        <w:t xml:space="preserve">El estudio modela la distribución de los varillales hidromórficos en el departamento de Loreto donde existen los registros de este ecosistema, sin embargo no incluye otras áreas de la amazonía peruana.</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Loreto</w:t>
      </w:r>
    </w:p>
    <w:p/>
    <w:p>
      <w:pPr/>
      <w:r>
        <w:rPr>
          <w:rStyle w:val="rStyle"/>
        </w:rPr>
        <w:t xml:space="preserve">Palabras clave:</w:t>
      </w:r>
    </w:p>
    <w:p>
      <w:pPr/>
      <w:r>
        <w:rPr/>
        <w:t xml:space="preserve">densidad de carbono, especies dominantes, Google Earth Engine, comunidades indígenas, sitio RAMSAR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0e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2025-06-30T01:50:51-05:00</dcterms:created>
  <dcterms:modified xsi:type="dcterms:W3CDTF">2025-06-30T01:50:51-05:00</dcterms:modified>
</cp:coreProperties>
</file>

<file path=docProps/custom.xml><?xml version="1.0" encoding="utf-8"?>
<Properties xmlns="http://schemas.openxmlformats.org/officeDocument/2006/custom-properties" xmlns:vt="http://schemas.openxmlformats.org/officeDocument/2006/docPropsVTypes"/>
</file>