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departamento de Tacna posee variados tipos de climas y ecosistemas, características que lo hacen vulnerable al cambio climático. De esta manera, se destaca la importancia de cinco especies vegetales en peligro crítico ante este desafío, con el fin de predecir cómo podría cambiar el área donde estas especies habitarán en el futuro. Para esto se consideraron los siguientes escenarios de cambio climático; uno muy optimista (con bajas emisiones), dos intermedios (de estabilización) y uno muy pesimista (con altas emisiones), proyectados para los años 2050 y 2070. Los resultados demostraron que la especie Buddleja coriacea es la más afectada; en el escenario muy pesimista perdería el 58.97% de su área habitada en el 2050 y 68.54% en el 2070, incluso en uno de los escenarios intermedios, la pérdida sería mayor, llegando al 86.19% para el año 2050. En cambio, la especie Kagenkia lanceolata aumentaría su área habitada en todos los escenarios. De manera similar, las especies Carica candicas, Haplorhus peruviana y Weberbauerella brognitoartioides conservarían y ampliarían su distribución en todos los escenarios estudiados. Finalmente, el cambio en el área donde estas especies podrán habitar en el futuro depende principalmente de la precipitación y la temperatura. Dado que Buddleja coriacea es la especie con mayores reducciones de área, es necesario implementar políticas que ayuden a reducir los efectos del cambio climático sobre las especies evaluadas.</w:t>
      </w:r>
    </w:p>
    <w:p/>
    <w:p>
      <w:pPr/>
      <w:r>
        <w:rPr>
          <w:rStyle w:val="rStyle"/>
        </w:rPr>
        <w:t xml:space="preserve">Metodología y datos</w:t>
      </w:r>
    </w:p>
    <w:p>
      <w:pPr/>
      <w:r>
        <w:rPr/>
        <w:t xml:space="preserve">El estudio se realizó en el departamento de Tacna, ubicado en el sur del Perú. Esta región tiene una extensión de 16,075.73 km², lo que representa el 1.25 % del territorio nacional, y está conformada por cuatro provincias: Tacna, Tarata, Candarave y Jorge Basadre. Se seleccionaron cinco especies vegetales en peligro crítico, registradas en la lista oficial de flora categorizada del Perú (Decreto Supremo N.º 043-2006-AG, 2006). Para ubicar y verificar la presencia de estas especies se utilizó información de la Zonificación Ecológica y Económica (ZEE) de Tacna, del Herbario Takana y de verificaciones en campo.
En la selección de variables para predecir las áreas potenciales de cada especie se emplearon 19 variables bioclimáticas, relacionadas con la temperatura y la precipitación. Además, se consideraron la radiación solar y la elevación del terreno. Estas variables fueron procesadas en QGIS, un software de sistemas de información geográfica, que permitió recortar y delimitar el área de estudio. Posteriormente, se aplicó MaxEnt v3.4.1 para simular las distribuciones potenciales de las especies. Finalmente, la validación de los modelos obtenidos se realizó mediante el estadístico Área Bajo la Curva (AUC) de la prueba ROC (Receiver Operating Characteristic), que mide la precisión de las predicciones.</w:t>
      </w:r>
    </w:p>
    <w:p/>
    <w:p>
      <w:pPr/>
      <w:r>
        <w:rPr>
          <w:rStyle w:val="rStyle"/>
        </w:rPr>
        <w:t xml:space="preserve">Limitaciones de la investigación</w:t>
      </w:r>
    </w:p>
    <w:p>
      <w:pPr/>
      <w:r>
        <w:rPr/>
        <w:t xml:space="preserve">Las principales limitaciones que posee el estudio son; el modelamiento no consideró variables relacionadas con el cambio de uso de suelo ni la presión de actividades humanas, lo que pudo haber sobrestimado la superficie de algunas especies. Asimismo, las bases de datos climáticas utilizadas (WorldClim) pueden contener errores en zonas altoandinas debido a la gran variabilidad local de temperatura y precipitación, afectando la precisión de las proyecciones. Otro aspecto por considerar es la dependencia del estadístico AUC para validar los modelos, método que presenta limitaciones al ponderar de igual manera los errores de omisión y comisión. Y por último, se reconoce que en ciertos casos la categoría de amenaza de las especies podría estar más influenciada por factores antropogénicos que por el cambio climático, lo cual no fue incorporado directamente en el modelamiento.</w:t>
      </w:r>
    </w:p>
    <w:p/>
    <w:p>
      <w:pPr/>
      <w:r>
        <w:rPr>
          <w:rStyle w:val="rStyle"/>
        </w:rPr>
        <w:t xml:space="preserve">Recomendaciones</w:t>
      </w:r>
    </w:p>
    <w:p>
      <w:pPr/>
      <w:r>
        <w:rPr/>
        <w:t xml:space="preserve">Las recomendaciones del estudio están centradas en cómo aplicar los hallazgos científicos para la conservación de las especies analizadas. El artículo sugiere que las políticas e iniciativas de conservación y ordenamiento territorial deben orientarse hacia escenarios de mitigación de bajas emisiones (RCP2.6), con el fin de reducir al máximo el impacto del cambio climático sobre estas plantas. También se recomienda implementar programas de forestación y reforestación basados en investigaciones científicas y bajo un enfoque de adaptación basada en ecosistemas, como propone la UICN a nivel global.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al sur del Perú.</w:t>
      </w:r>
    </w:p>
    <w:p/>
    <w:p>
      <w:pPr/>
      <w:r>
        <w:rPr>
          <w:rStyle w:val="rStyle"/>
        </w:rPr>
        <w:t xml:space="preserve">Palabras clave:</w:t>
      </w:r>
    </w:p>
    <w:p>
      <w:pPr/>
      <w:r>
        <w:rPr/>
        <w:t xml:space="preserve">Cambio climático; conservación; peligro crítico; flora amenazada; MaxEnt; modelamiento de nicho ecológico; Perú;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2026-07-22T21:51:41-05:00</dcterms:created>
  <dcterms:modified xsi:type="dcterms:W3CDTF">2026-07-22T21:51:41-05:00</dcterms:modified>
</cp:coreProperties>
</file>

<file path=docProps/custom.xml><?xml version="1.0" encoding="utf-8"?>
<Properties xmlns="http://schemas.openxmlformats.org/officeDocument/2006/custom-properties" xmlns:vt="http://schemas.openxmlformats.org/officeDocument/2006/docPropsVTypes"/>
</file>