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Livelihoods in transition: transnational gold mining operations and local change in Cajamarca, Peru</w:t>
      </w:r>
    </w:p>
    <w:p>
      <w:hyperlink r:id="rId7" w:history="1">
        <w:r>
          <w:rPr>
            <w:color w:val="1d4ed8"/>
            <w:u w:val="single"/>
          </w:rPr>
          <w:t xml:space="preserve">https://doi.org/10.1111/j.0016-7398.2004.05042.x</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La minería en Cajamarca transformó de manera desigual los medios de vida de las familias. La empresa Minera Yanacocha contribuyó a mejorar el acceso a infraestructura, educación y oportunidades económicas. Entre sus principales acciones estuvo la mejora de más de 133 km de carreteras, lo que facilitó la conexión con los mercados. En Jalca, por ejemplo, el 65 % de los hogares reportó un mayor acceso a mercados para comercializar sus productos agrícolas. Sin embargo, estos beneficios estuvieron acompañados de cambios en el acceso y uso de los recursos naturales y sociales. En Ladera, la intensificación de la agricultura incrementó la demanda de tierras y la actividad ganadera, mientras que en Jalca la mejora de las carreteras favoreció la producción ganadera. Asimismo, se reportó un deterioro de la calidad del agua y un aumento de las diferencias y conflictos entre los hogares. Esta situación generó una percepción de injusticia en la población afectada, asociada principalmente a la falta de transparencia y a la distribución desigual de los beneficios y costos de la actividad minera, lo que contribuyó al surgimiento de conflictos sociales y protestas. En este sentido, los efectos de la minería no fueron exclusivamente positivos ni negativos, sino que variaron según la comunidad y el tipo de recurso, generando nuevas oportunidades para algunas familias, pero también mayores dificultades y conflictos para otras.</w:t>
      </w:r>
    </w:p>
    <w:p/>
    <w:p>
      <w:pPr/>
      <w:r>
        <w:rPr>
          <w:rStyle w:val="rStyle"/>
        </w:rPr>
        <w:t xml:space="preserve">Metodología y datos</w:t>
      </w:r>
    </w:p>
    <w:p>
      <w:pPr/>
      <w:r>
        <w:rPr/>
        <w:t xml:space="preserve">La investigación utilizó un diseño cuasiexperimental comparando tres comunidades con distintos niveles de afectación: Ladera (alto impacto), Jalca (impacto intermedio) y una comunidad de Control (sin impacto). El estudio se basó en 59 entrevistas aleatorias a hogares realizadas entre 1999 y 2001, usando cuestionarios de 112 preguntas sobre su bienestar y recursos.</w:t>
      </w:r>
    </w:p>
    <w:p/>
    <w:p>
      <w:pPr/>
      <w:r>
        <w:rPr>
          <w:rStyle w:val="rStyle"/>
        </w:rPr>
        <w:t xml:space="preserve">Limitaciones de la investigación</w:t>
      </w:r>
    </w:p>
    <w:p>
      <w:pPr/>
      <w:r>
        <w:rPr/>
        <w:t xml:space="preserve">Una de las principales limitaciones del estudio fue el acceso incompleto a los registros oficiales de monitoreo de la calidad del agua. El Ministerio de Energía y Minas y la empresa Minera Yanacocha no proporcionaron al equipo de investigación todos los datos disponibles. Como consecuencia, los registros analizados, correspondientes al período de referencia de 1991-1993 hasta 1999, no fueron continuos ni uniformes en el tiempo. Esta falta de información completa dificultó realizar una comparación cronológica más precisa sobre los cambios en la calidad del agua durante el período estudiado.</w:t>
      </w:r>
    </w:p>
    <w:p/>
    <w:p>
      <w:pPr/>
      <w:r>
        <w:rPr>
          <w:rStyle w:val="rStyle"/>
        </w:rPr>
        <w:t xml:space="preserve">Recomendaciones</w:t>
      </w:r>
    </w:p>
    <w:p>
      <w:pPr/>
      <w:r>
        <w:rPr/>
        <w:t xml:space="preserve">Se recomienda implementar un monitoreo participativo de los recursos hídricos, con la participación de comunidades, empresas, autoridades y especialistas, cuyos resultados sean públicos y accesibles. Asimismo, los tomadores de decisiones deben fortalecer las políticas públicas, promoviendo una distribución equitativa de los beneficios con mayor transparencia y participación comunitaria. Estas políticas deben considerar no solo el desarrollo económico, sino también la protección de los recursos, de la calidad de vida y salud de las familias.</w:t>
      </w:r>
    </w:p>
    <w:p/>
    <w:p>
      <w:pPr/>
      <w:r>
        <w:rPr>
          <w:rStyle w:val="rStyle"/>
        </w:rPr>
        <w:t xml:space="preserve">Adaptación:</w:t>
      </w:r>
    </w:p>
    <w:p>
      <w:pPr/>
      <w:r>
        <w:rPr/>
        <w:t xml:space="preserve">Agricultura,  Agua,  Salud</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Cajamarca,  Ladera,  Jalca</w:t>
      </w:r>
    </w:p>
    <w:p/>
    <w:p>
      <w:pPr/>
      <w:r>
        <w:rPr>
          <w:rStyle w:val="rStyle"/>
        </w:rPr>
        <w:t xml:space="preserve">Palabras clave:</w:t>
      </w:r>
    </w:p>
    <w:p>
      <w:pPr/>
      <w:r>
        <w:rPr/>
        <w:t xml:space="preserve">Minería,  Cajamarca,  Transición ,  hogares, Agua,  medios de vida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0016-7398.2004.05042.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2026-09-21T22:10:53-05:00</dcterms:created>
  <dcterms:modified xsi:type="dcterms:W3CDTF">2026-09-21T22:10:53-05:00</dcterms:modified>
</cp:coreProperties>
</file>

<file path=docProps/custom.xml><?xml version="1.0" encoding="utf-8"?>
<Properties xmlns="http://schemas.openxmlformats.org/officeDocument/2006/custom-properties" xmlns:vt="http://schemas.openxmlformats.org/officeDocument/2006/docPropsVTypes"/>
</file>