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d4ed8"/>
          <w:sz w:val="36"/>
          <w:szCs w:val="36"/>
          <w:b w:val="1"/>
          <w:bCs w:val="1"/>
        </w:rPr>
        <w:t xml:space="preserve">Variability and Controls on δ 18O, d‐excess, and ∆′17O in Southern Peruvian Precipitation</w:t>
      </w:r>
    </w:p>
    <w:p>
      <w:hyperlink r:id="rId7" w:history="1">
        <w:r>
          <w:rPr>
            <w:color w:val="1d4ed8"/>
            <w:u w:val="single"/>
          </w:rPr>
          <w:t xml:space="preserve">https://doi.org/10.1029/2020JD034009</w:t>
        </w:r>
      </w:hyperlink>
    </w:p>
    <w:p/>
    <w:p/>
    <w:p>
      <w:pPr/>
      <w:r>
        <w:rPr>
          <w:rStyle w:val="rStyle"/>
        </w:rPr>
        <w:t xml:space="preserve">Intérprete</w:t>
      </w:r>
    </w:p>
    <w:p>
      <w:pPr/>
      <w:r>
        <w:rPr/>
        <w:t xml:space="preserve">Romero Roldán Carol Kristi</w:t>
      </w:r>
    </w:p>
    <w:p/>
    <w:p>
      <w:pPr/>
      <w:r>
        <w:rPr>
          <w:rStyle w:val="rStyle"/>
        </w:rPr>
        <w:t xml:space="preserve">Revisor(a)</w:t>
      </w:r>
    </w:p>
    <w:p>
      <w:pPr/>
      <w:r>
        <w:rPr/>
        <w:t xml:space="preserve">Apaéstegui Campos James E.</w:t>
      </w:r>
    </w:p>
    <w:p/>
    <w:p>
      <w:pPr/>
      <w:r>
        <w:rPr>
          <w:rStyle w:val="rStyle"/>
        </w:rPr>
        <w:t xml:space="preserve">Resultados y conclusiones</w:t>
      </w:r>
    </w:p>
    <w:p>
      <w:pPr/>
      <w:r>
        <w:rPr/>
        <w:t xml:space="preserve">El artículo trata sobre la composición isotópica de la precipitación (δ18O, δ2H, ∆17O, Dxs) y los materiales geológicos que preservan las razones isotópicas de la precipitación durante los años 2017 - 2019, y cómo se pueden utilizar estas señales para rastrear procesos en el ciclo del agua y el cambio climático en los Andes centrales. Los autores encontraron que las variaciones de la señal isotópica tienen una relación significativa con la elevación (r = -0.82) y la latitud (r = -0.72) para los andes centrales. Asimismo, las variaciones estacionales de oxígeno 18 se ven afectadas por las lluvias que ocurren en el camino de las nubes (aguas arriba) y los procesos locales de precipitación (convección profunda).
En el artículo también se observa que las variaciones del exceso de deuterio reflejan la evapotranspiración regional y reciclaje de humedad. Adicionalmente, el artículo presenta el primer análisis de la triple variación del isótopo de oxígeno (∆17O) el cual viene siendo desarrollado como un nuevo trazador que junto con el exceso de deuterio (Dxs) diferencian claramente si las muestras se encuentran evaporadas o no. Este trabajo representa una nueva linea base sobre la interpretación de las señales isotópicas y sus aplicaciones en estudios de hidrología local y regional.</w:t>
      </w:r>
    </w:p>
    <w:p/>
    <w:p>
      <w:pPr/>
      <w:r>
        <w:rPr>
          <w:rStyle w:val="rStyle"/>
        </w:rPr>
        <w:t xml:space="preserve">Metodología y datos</w:t>
      </w:r>
    </w:p>
    <w:p>
      <w:pPr/>
      <w:r>
        <w:rPr/>
        <w:t xml:space="preserve">Utilización del modelo atmosférico lagrangiano HYSPLIT, muestreo de agua de lluvia para análisis isotópicos (d18O, d2H, Dxs).</w:t>
      </w:r>
    </w:p>
    <w:p/>
    <w:p>
      <w:pPr/>
      <w:r>
        <w:rPr>
          <w:rStyle w:val="rStyle"/>
        </w:rPr>
        <w:t xml:space="preserve">Limitaciones de la investigación</w:t>
      </w:r>
    </w:p>
    <w:p>
      <w:pPr/>
      <w:r>
        <w:rPr/>
        <w:t xml:space="preserve">Se podria considerar una interpretación a partir de una serie mas larga de datos isotópicos para un análisis más robusto a nivel interanual y así observar eventos como el fenómeno El Niño.
El análisis de la triple variacion es reciente y no existen mucha informacion comparativa de este parámetro, y su interpretación viene en desarrollo.
La data deberia estar disponible para evaluaciones paralelas o uso en estudios locales relacionados a los recursos hídricos. Sin embargo, no hay acceso a ella.</w:t>
      </w:r>
    </w:p>
    <w:p/>
    <w:p>
      <w:pPr/>
      <w:r>
        <w:rPr>
          <w:rStyle w:val="rStyle"/>
        </w:rPr>
        <w:t xml:space="preserve">Recomendaciones</w:t>
      </w:r>
    </w:p>
    <w:p>
      <w:pPr/>
      <w:r>
        <w:rPr/>
        <w:t xml:space="preserve"/>
      </w:r>
    </w:p>
    <w:p/>
    <w:p>
      <w:pPr/>
      <w:r>
        <w:rPr>
          <w:rStyle w:val="rStyle"/>
        </w:rPr>
        <w:t xml:space="preserve">Adaptación:</w:t>
      </w:r>
    </w:p>
    <w:p>
      <w:pPr/>
      <w:r>
        <w:rPr/>
        <w:t xml:space="preserve">Agua</w:t>
      </w:r>
    </w:p>
    <w:p/>
    <w:p>
      <w:pPr/>
      <w:r>
        <w:rPr>
          <w:rStyle w:val="rStyle"/>
        </w:rPr>
        <w:t xml:space="preserve">Mitigación:</w:t>
      </w:r>
    </w:p>
    <w:p>
      <w:pPr/>
      <w:r>
        <w:rPr/>
        <w:t xml:space="preserve">---</w:t>
      </w:r>
    </w:p>
    <w:p/>
    <w:p>
      <w:pPr/>
      <w:r>
        <w:rPr>
          <w:rStyle w:val="rStyle"/>
        </w:rPr>
        <w:t xml:space="preserve">Escala:</w:t>
      </w:r>
    </w:p>
    <w:p>
      <w:pPr/>
      <w:r>
        <w:rPr/>
        <w:t xml:space="preserve">Regional </w:t>
      </w:r>
    </w:p>
    <w:p/>
    <w:p>
      <w:pPr/>
      <w:r>
        <w:rPr>
          <w:rStyle w:val="rStyle"/>
        </w:rPr>
        <w:t xml:space="preserve">Ámbito geográfico:</w:t>
      </w:r>
    </w:p>
    <w:p>
      <w:pPr/>
      <w:r>
        <w:rPr/>
        <w:t xml:space="preserve">Altiplano,  Andes Centrales,  Sur de Perú</w:t>
      </w:r>
    </w:p>
    <w:p/>
    <w:p>
      <w:pPr/>
      <w:r>
        <w:rPr>
          <w:rStyle w:val="rStyle"/>
        </w:rPr>
        <w:t xml:space="preserve">Palabras clave:</w:t>
      </w:r>
    </w:p>
    <w:p>
      <w:pPr/>
      <w:r>
        <w:rPr/>
        <w:t xml:space="preserve">Andes Centrales, Isótopos estables de precipitación, HYSPLIT, ciclo hidrológico</w:t>
      </w:r>
    </w:p>
    <w:p/>
    <w:sectPr>
      <w:footerReference w:type="default" r:id="rId8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/>
  <w:p>
    <w:pPr/>
    <w:r>
      <w:rPr>
        <w:rStyle w:val="gStyle"/>
      </w:rPr>
      <w:t xml:space="preserve">-----</w:t>
    </w:r>
  </w:p>
  <w:p>
    <w:pPr/>
    <w:r>
      <w:rPr>
        <w:rStyle w:val="gStyle"/>
      </w:rPr>
      <w:t xml:space="preserve">Este documento no tiene valor oficial.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character">
    <w:name w:val="rStyle"/>
    <w:rPr>
      <w:rFonts w:ascii="Arial" w:hAnsi="Arial" w:eastAsia="Arial" w:cs="Arial"/>
      <w:color w:val="1d4ed8"/>
      <w:sz w:val="24"/>
      <w:szCs w:val="24"/>
      <w:b w:val="1"/>
      <w:bCs w:val="1"/>
    </w:rPr>
  </w:style>
  <w:style w:type="character">
    <w:name w:val="gStyle"/>
    <w:rPr>
      <w:rFonts w:ascii="Arial" w:hAnsi="Arial" w:eastAsia="Arial" w:cs="Arial"/>
      <w:color w:val="777777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doi.org/10.1029/2020JD034009" TargetMode="External"/><Relationship Id="rId8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2026-09-22T06:51:34-05:00</dcterms:created>
  <dcterms:modified xsi:type="dcterms:W3CDTF">2026-09-22T06:51:34-05:00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