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mitigation potential of transitioning from open dumpsters in Peru: Evaluation of mitigation strategies in critical dumpsites</w:t>
      </w:r>
    </w:p>
    <w:p>
      <w:hyperlink r:id="rId7" w:history="1">
        <w:r>
          <w:rPr>
            <w:color w:val="1d4ed8"/>
            <w:u w:val="single"/>
          </w:rPr>
          <w:t xml:space="preserve">https://doi.org/10.1016/j.scitotenv.2022.157295</w:t>
        </w:r>
      </w:hyperlink>
    </w:p>
    <w:p/>
    <w:p/>
    <w:p>
      <w:pPr/>
      <w:r>
        <w:rPr>
          <w:rStyle w:val="rStyle"/>
        </w:rPr>
        <w:t xml:space="preserve">Intérprete</w:t>
      </w:r>
    </w:p>
    <w:p>
      <w:pPr/>
      <w:r>
        <w:rPr/>
        <w:t xml:space="preserve">Miguel Granza Noemi Zheyla</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El estudio evalúa cuatro estrategias de mitigación para botaderos críticos en Perú, incluyendo el cierre progresivo de botaderos, el cierre definitivo, la conversión a un relleno sanitario y el uso de un sistema de captura de biogás. La evaluación considera el potencial de mitigación de las emisiones de GEI y los indicadores financieros que revelan la viabilidad económica. Asimismo, se subraya que un enfoque preventivo a la hora de planificar el cierre de botaderos es crucial para evitar, mitigar y controlar los impactos ambientales, sociales y económicos.
El estudio se centra en 24 botaderos críticos distribuidos en diferentes distritos, provincias y departamentos de Perú. Los departamentos con mayores distribuciones de GEI fueron Trujillo (193 kt CO2 eq.), Piura (79 kt CO2 eq.) y Cusco (61 kt CO2 eq.).
Los resultados de la investigación muestran que la estrategia más rentable para mitigar el impacto de los botaderos es el cierre y la oxidación biológica cubriendo el botadero con una capa de oxidación de metano (MOL). Una estrategia de mitigación optimizada que minimice el coste medio de reducción supondría un coste total de 76 M€ y de 107 €/tCO2eq. 
Los autores consideran que los resultados y conclusiones obtenidos son válidos y relevantes para el debate político y para apoyar las políticas relacionadas con la gestión de residuos.</w:t>
      </w:r>
    </w:p>
    <w:p/>
    <w:p>
      <w:pPr/>
      <w:r>
        <w:rPr>
          <w:rStyle w:val="rStyle"/>
        </w:rPr>
        <w:t xml:space="preserve">Metodología y datos</w:t>
      </w:r>
    </w:p>
    <w:p>
      <w:pPr/>
      <w:r>
        <w:rPr/>
        <w:t xml:space="preserve">El estudio evalúa las emisiones de GEI y el potencial de mitigación de los botaderos en Perú. En un principio, se realiza una estimación anual de los GEI de referencia en base al modelo del IPCC. La estimación depende de varios parámetros, como la cantidad y composición de los residuos dispuestos, la altura y el área de estos espacios de botadores llamados uS WDS, y el tiempo de actividad. 
Por otro lado, también se realiza una evaluación de las estrategias de mitigación, la evaluación considera el potencial de mitigación de las emisiones de GEI y los indicadores financieros que revelan la viabilidad económica. En torno a este último, se utiliza una relación beneficio coste (BCR) para mostrar la relación entre los costes relativos y los beneficios expresados en términos monetarios.  Si el BCR es superior a 1, se espera que la estrategia de mitigación ofrezca un valor actual neto (VAN) positivo. Sin embargo, si el BCR es inferior a 1, entonces los costes superan a los beneficios.</w:t>
      </w:r>
    </w:p>
    <w:p/>
    <w:p>
      <w:pPr/>
      <w:r>
        <w:rPr>
          <w:rStyle w:val="rStyle"/>
        </w:rPr>
        <w:t xml:space="preserve">Limitaciones de la investigación</w:t>
      </w:r>
    </w:p>
    <w:p>
      <w:pPr/>
      <w:r>
        <w:rPr/>
        <w:t xml:space="preserve">Durante la investigación no se encontraron cifras comparativas para los residuos ingresados en botaderos. Así también, faltan datos importantes para el cálculo de emisiones de referencia, como la altura del botadero, que se dedujo de forma indicativa.</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Perú</w:t>
      </w:r>
    </w:p>
    <w:p/>
    <w:p>
      <w:pPr/>
      <w:r>
        <w:rPr>
          <w:rStyle w:val="rStyle"/>
        </w:rPr>
        <w:t xml:space="preserve">Palabras clave:</w:t>
      </w:r>
    </w:p>
    <w:p>
      <w:pPr/>
      <w:r>
        <w:rPr/>
        <w:t xml:space="preserve">Botaderos críticos, Mitigación, Emisiones GEI</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2.15729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2026-09-22T06:51:34-05:00</dcterms:created>
  <dcterms:modified xsi:type="dcterms:W3CDTF">2026-09-22T06:51:34-05:00</dcterms:modified>
</cp:coreProperties>
</file>

<file path=docProps/custom.xml><?xml version="1.0" encoding="utf-8"?>
<Properties xmlns="http://schemas.openxmlformats.org/officeDocument/2006/custom-properties" xmlns:vt="http://schemas.openxmlformats.org/officeDocument/2006/docPropsVTypes"/>
</file>