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will accelerate the high-end risk of compound drought and heatwave events</w:t>
      </w:r>
    </w:p>
    <w:p>
      <w:hyperlink r:id="rId7" w:history="1">
        <w:r>
          <w:rPr>
            <w:color w:val="1d4ed8"/>
            <w:u w:val="single"/>
          </w:rPr>
          <w:t xml:space="preserve">https://doi.org/10.1073/pnas.2219825120</w:t>
        </w:r>
      </w:hyperlink>
    </w:p>
    <w:p/>
    <w:p/>
    <w:p>
      <w:pPr/>
      <w:r>
        <w:rPr>
          <w:rStyle w:val="rStyle"/>
        </w:rPr>
        <w:t xml:space="preserve">Intérprete</w:t>
      </w:r>
    </w:p>
    <w:p>
      <w:pPr/>
      <w:r>
        <w:rPr/>
        <w:t xml:space="preserve">TORRES NEYRA SANTOS FIDALI</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El estudio analiza cómo el cambio climático afectará la frecuencia, duración y severidad de eventos de sequía y olas de calor en el futuro cercano y lejano, considerando diferentes escenarios. Para ello se emplearon resultados de ocho Modelos de Circulación General (GCM) del Proyecto de intercomparación de modelos acoplados y tres vías socioeconómicas compartidas. Estos modelos proyectan un patrón creciente significativo en las características de eventos de sequía y ola de calor compuestos (CDHW) para fines del siglo XXI (futuro cercano), especialmente en escenarios de altas emisiones. Para evaluaciones continentales los resultados identifican seis regiones climáticas como África Oriental, Asia Central, Australia del Norte, Europa Central, el Sureste de América del Sur y el Este de América del Norte con mayor aumento futuro en la frecuencia de estos eventos debido al calentamiento antropogénico. Asimismo, resalta la importancia de comprender los mecanismos subyacentes, como retroalimentaciones tierra-atmósfera y cambios en patrones teleconectivos, para mejorar la proyección de estos eventos en el futuro</w:t>
      </w:r>
    </w:p>
    <w:p/>
    <w:p>
      <w:pPr/>
      <w:r>
        <w:rPr>
          <w:rStyle w:val="rStyle"/>
        </w:rPr>
        <w:t xml:space="preserve">Metodología y datos</w:t>
      </w:r>
    </w:p>
    <w:p>
      <w:pPr/>
      <w:r>
        <w:rPr/>
        <w:t xml:space="preserve">Análisis para períodos futuros: 
Se utilizaron 8 Modelos de Circulación General (MCG) de salida bajo tres escenarios de concentración representativa (SSP-RCP: SSP1-2.6, SSP2-4.5 y SSP5-8.5) del Proyecto de Intercomparación de Modelos Acoplados (CMIP6). 
Análisis de Correlación:
Para identificar los Mejores MCG: se realizó un análisis de correlación entre los datos observados (precipitación y temperatura) y los resultados del GCM corregido por sesgo para seleccionar los modelos más adecuados.
Interpolación y Cuadriculación:
Interpolación Bilineal: se recuadriculó todos los conjuntos de datos (observados y de MCG) mediante la aplicación de interpolación bilineal con una resolución espacial uniforme.
Datos Adicionales y Parámetros:
Contenido de Agua Disponible (AWC): Datos que se han extraído de un mapa global de capacidad de retención de agua basado en la textura del suelo, recuadriculados con una resolución espacial de 2°.
Se utilizaron datos de la precipitación diaria observada del Centro Mundial de Climatología de la Precipitación (GPCC) desde 1982 al 2019. Así como también datos de temperatura de aire (máxima y mínima) diarios de 2 m se obtuvieron del Centro de Predicción del Clima (CPC) con una resolución espacial de 0,25°</w:t>
      </w:r>
    </w:p>
    <w:p/>
    <w:p>
      <w:pPr/>
      <w:r>
        <w:rPr>
          <w:rStyle w:val="rStyle"/>
        </w:rPr>
        <w:t xml:space="preserve">Limitaciones de la investigación</w:t>
      </w:r>
    </w:p>
    <w:p>
      <w:pPr/>
      <w:r>
        <w:rPr/>
        <w:t xml:space="preserve">Esta investigación sugiere que futuras investigaciones se enfoquen en mecanismos desencadenantes y en reducir las incertidumbres en las proyecciones climáticas. Además, el trabajo menciona la necesidad de investigar el impacto de estos eventos en diversos sectores socioeconómicos y ecológicos</w:t>
      </w:r>
    </w:p>
    <w:p/>
    <w:p>
      <w:pPr/>
      <w:r>
        <w:rPr>
          <w:rStyle w:val="rStyle"/>
        </w:rPr>
        <w:t xml:space="preserve">Recomendaciones</w:t>
      </w:r>
    </w:p>
    <w:p>
      <w:pPr/>
      <w:r>
        <w:rPr/>
        <w:t xml:space="preserve">Que las investigaciones futuras se centren en cuantificar la influencia del uso y la cubierta terrestre en el transporte de humedad y la advección de calor, y en la retroalimentación tierra-atmósfera, y en limitar los patrones de teleconexión a gran escala, deberían ayudar a dilucidar mejor los factores que subyacen al aumento del riesgo de cambio climático relacionado con los CDHW (sequías y olas de calor compuestos)</w:t>
      </w:r>
    </w:p>
    <w:p/>
    <w:p>
      <w:pPr/>
      <w:r>
        <w:rPr>
          <w:rStyle w:val="rStyle"/>
        </w:rPr>
        <w:t xml:space="preserve">Adaptación:</w:t>
      </w:r>
    </w:p>
    <w:p>
      <w:pPr/>
      <w:r>
        <w:rPr/>
        <w:t xml:space="preserve">Agua</w:t>
      </w:r>
    </w:p>
    <w:p/>
    <w:p>
      <w:pPr/>
      <w:r>
        <w:rPr>
          <w:rStyle w:val="rStyle"/>
        </w:rPr>
        <w:t xml:space="preserve">Mitigación:</w:t>
      </w:r>
    </w:p>
    <w:p>
      <w:pPr/>
      <w:r>
        <w:rPr/>
        <w:t xml:space="preserve">Agricultura,  Energía</w:t>
      </w:r>
    </w:p>
    <w:p/>
    <w:p>
      <w:pPr/>
      <w:r>
        <w:rPr>
          <w:rStyle w:val="rStyle"/>
        </w:rPr>
        <w:t xml:space="preserve">Escala:</w:t>
      </w:r>
    </w:p>
    <w:p>
      <w:pPr/>
      <w:r>
        <w:rPr/>
        <w:t xml:space="preserve">Global</w:t>
      </w:r>
    </w:p>
    <w:p/>
    <w:p>
      <w:pPr/>
      <w:r>
        <w:rPr>
          <w:rStyle w:val="rStyle"/>
        </w:rPr>
        <w:t xml:space="preserve">Ámbito geográfico:</w:t>
      </w:r>
    </w:p>
    <w:p>
      <w:pPr/>
      <w:r>
        <w:rPr/>
        <w:t xml:space="preserve">África Oriental,  Australia del Norte,  América del Norte Este,  Asia Central,  Europa Central y el Sureste de América del Sur</w:t>
      </w:r>
    </w:p>
    <w:p/>
    <w:p>
      <w:pPr/>
      <w:r>
        <w:rPr>
          <w:rStyle w:val="rStyle"/>
        </w:rPr>
        <w:t xml:space="preserve">Palabras clave:</w:t>
      </w:r>
    </w:p>
    <w:p>
      <w:pPr/>
      <w:r>
        <w:rPr/>
        <w:t xml:space="preserve">Cambio climático,  (CDHW),  calentamiento global y regional,  calentamiento antropogénico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221982512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2026-09-22T08:04:31-05:00</dcterms:created>
  <dcterms:modified xsi:type="dcterms:W3CDTF">2026-09-22T08:04:31-05:00</dcterms:modified>
</cp:coreProperties>
</file>

<file path=docProps/custom.xml><?xml version="1.0" encoding="utf-8"?>
<Properties xmlns="http://schemas.openxmlformats.org/officeDocument/2006/custom-properties" xmlns:vt="http://schemas.openxmlformats.org/officeDocument/2006/docPropsVTypes"/>
</file>