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Soil Moisture Variability Intensifies and Prolongs Eastern Amazon Temperature and Carbon Cycle Response to El Niño–Southern Oscillation</w:t>
      </w:r>
    </w:p>
    <w:p>
      <w:hyperlink r:id="rId7" w:history="1">
        <w:r>
          <w:rPr>
            <w:color w:val="1d4ed8"/>
            <w:u w:val="single"/>
          </w:rPr>
          <w:t xml:space="preserve">https://doi.org/10.1175/jcli-d-18-0150.1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Amazonía oriental, los mecanismos asociados al acoplamiento entre la humedad del suelo y el clima intensifican y sostienen los impactos de sequías y olas de calor asociadas a El Niño. Los i) aumentos en las temperaturas del aire y ii) las caídas de la producción primaria neta y del sumidero de carbono están controladas por el acoplamiento entre la humedad del suelo y el clima, en tanto a que esto explica el 75% del aumento y el 90% de la disminución, respectivamente. Estos mecanismos son alargados particularmente para el periodo seco (junio a setiembre), mientras que para el periodo lluvioso (enero-marzo) y particularmente para la Amazonía occidental, los impactos de El Niño en el clima, hidrología y vegetación están más mediados por la atmósfera que por la humedad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GCM E3SM a resolución de cerca de 1°x1° en una configuración AMIP para 1982-2016 con temperatura superficial del mar (TSM) forzada por récords observacionales. Los experimentos realizados bloquean mecanismos particulares sobre el acoplamiento atmósfera-suelo-vegetación: en SSTvar se forzó SST con las observaciones pero se prescribió la humedad del suelo a la climatología de la simulación AMIP (el “control”), en SMvar la SST está prescrita por su climatología mientras que la humedad del suelo se prescribió a la misma que resultó de AMIP y finalmente en NOvar ambos campos fueron prescritos a sus climatologías (humedad del suelo: climatología de AMIP). Las clasificaciones temporales fueron realizadas a partir del índice El Niño 3.4 y los resultados se muestran principalmente en términos de diferencias entre años El Niño y La Niña. Se realizaron benchmark, correlaciones con el índice Niño 3.4 y diferencias El Niño- La Niña para la temperatura del aire, precipitación, VPD, insolación, evapotranspiración, producción primaria neta, respiración heterótrofa y el intercambio ecosistémico neto, entre otras variables. Los datasets de benchmark fueron CRU, ERA-Interim, MERRA-2 (temperatura), GPCP, CMAP (P) y GRACE (TWS).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Limitaciones asociadas a la resolución y representación física de los procesos del hidroclima y vegetación en el modelo, así como posibles sobreestimaciones del acoplamiento entre la humedad del suelo y el clima. Limitaciones observacionales, de periodo de tiempo y/o de cobertura de estaciones en los benchmarks empleados.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Experimentos futuros pueden profundizar al respecto de las anomalías en el ciclo de carbono inducido por la humedad del suelo. Los mecanismos asociados a la humedad del suelo y su impacto en el hidroclima y vegetación amazónica en modelos del sistema tierra bajo escenarios de sequías o de clima futuro pueden utilizar diseños experimentales similares en donde se desactiva la variación de la humedad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Acoplamiento suelo-clima, El Niño, Humedad del suelo, Sensibilidad a procesos, Ciclo de carbono,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jcli-d-18-0150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2026-04-02T10:35:33-05:00</dcterms:created>
  <dcterms:modified xsi:type="dcterms:W3CDTF">2026-04-02T10:35:33-05:00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