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Patient satisfaction and quality of care of the internal medicine service of Hospital Daniel Alcides Carrión. Huancayo - Perú</w:t>
      </w:r>
    </w:p>
    <w:p>
      <w:hyperlink r:id="rId7" w:history="1">
        <w:r>
          <w:rPr>
            <w:color w:val="1d4ed8"/>
            <w:u w:val="single"/>
          </w:rPr>
          <w:t xml:space="preserve">https://doi.org/10.25176/rfmh.v20i3.3123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términos generales, el grado de satisfacción a la calidad de atención en los consultorios externos de medicina interna del hospital Daniel Alcides Carrión (Huancayo) fue del 60.3% de los encuestados. En la evaluación se consideraron las dimensiones de seguridad (con un grado de satisfacción del 86.8%, abarcando aspectos como el respeto a la privacidad y el profesionalismo percibido por los pacientes), empatía (80.3%; amabilidad, interés y claridad del especialista), fiabilidad (46.8%; confianza en la gestión y programación de las consultas), capacidad de respuesta (44.5%; eficiencia de los procedimientos y exámenes posteriores) y aspectos tangibles (43%; infraestructura, orden e higiene del hospital). Los resultados indican que la relación médico-paciente es lo más valorado por los usuarios del sistema de salud, y se evidencia que el hospital debe realizar esfuerzos para mejorar los procesos y la gestión administrativa.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aplicó un cuestionario estandarizado SERVQUAL para medir objetivamente la calidad de atención del servicio de salud, basado en el nivel de satisfacción de los usuarios. Este cuestionario se aplicó a una muestra de 292 pacientes de los consultorios externos de medicina interna del hospital Daniel Alcides Carrión (Huancayo) entre julio y noviembre de 2016. Las pruebas preliminares de la encuesta indicaron una alta confiabilidad.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Algunos estudios indican que el método SERVQUAL presenta limitaciones en el análisis multidimensional, además de ser sensible a las diferencias culturales en la interpretación del entorno social y la atención médica, entre otras deficiencias (ver Jonkisz et al., 2021; https://doi.org/10.3390/ijerph182010758). Por lo tanto, los resultados presentados pueden estar desactualizados y ser específicos al lugar y período de tiempo considerado.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Huancayo,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Salud, Calidad de atención, Servicio de salud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5176/rfmh.v20i3.31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2026-05-18T12:08:04-05:00</dcterms:created>
  <dcterms:modified xsi:type="dcterms:W3CDTF">2026-05-18T12:08:04-05:00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