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Crop production structure and stability under climate change in South America</w:t>
      </w:r>
    </w:p>
    <w:p>
      <w:hyperlink r:id="rId7" w:history="1">
        <w:r>
          <w:rPr>
            <w:color w:val="1d4ed8"/>
            <w:u w:val="single"/>
          </w:rPr>
          <w:t xml:space="preserve">https://doi.org/10.1111/aab.12402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Montano Lopez Valeria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Calderon Martha S.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estudio analizó datos históricos de cultivos en Sudamérica para identificar patrones de rendimiento, comprender respuestas complejas a cambios ambientales y determinar puntos críticos de impacto climático clave para la adaptación y mitigación agrícola. Los resultados variaron según el cultivo y la región estudiada (Argentina, Uruguay, Chile y Brasil). Se observó que las interacciones entre variables climáticas o emisiones de CO2 y el nivel de rendimiento de los cultivos (efectos no aditivos) fueron más comunes que los efectos independientes (aditivos). Para algunos cultivos como el maíz, avena, cebada y girasol, las tasas de crecimiento anual se vieron afectadas principalmente por la temperatura. En otros casos, como la soja, el sorgo y el trigo, los efectos fueron más variables, con influencias de la temperatura, precipitaciones y emisiones de CO2 en diferentes regiones. Los hallazgos son clave para la gestión y adaptación al cambio climático en sistemas de cultivos, resaltando la relevancia de modelos dinámicos basados en conocimiento biológico.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La metodología se basó en la recopilación de datos históricos de rendimiento de cultivos en Argentina, Uruguay, Chile y Brasil desde 1969/70 hasta 2010/11, obtenidos de fuentes como anuarios estadísticos nacionales y la Red Global de Climatología Histórica. Se consideraron variables climáticas como temperatura, precipitación y eventos extremos durante las temporadas de crecimiento de diversos cultivos. Además, se evaluó el efecto anual del CO2 utilizando datos del Banco Mundial. Se aplicaron modelos estadísticos para analizar y predecir los rendimientos, considerando perturbaciones externas, efectos no lineales y desfases temporales. El ajuste y selección de modelos se realizaron mediante regresiones no lineales y criterios como el AIC (criterio de información de Akaike) y medidas de bondad de ajuste. Esta metodología brinda una comprensión profunda de cómo las variaciones climáticas y otros factores ambientales influyen en los rendimientos de los cultivos en distintas regiones y períodos.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Las limitaciones identificadas incluyen la presencia de datos incompletos y la falta de precisión debido a series temporales limitadas y fuentes de datos variadas que pueden generar conclusiones sesgadas e inconsistencias. La utilización de modelos simples, tanto de regulación interna como de perturbaciones ambientales, puede no capturar completamente las complejas interacciones entre el clima y el rendimiento de los cultivos. Además, la generalización de los resultados puede ser problemática debido a las diferencias en los sistemas de cultivo y las condiciones ambientales locales, sin considerar factores socioeconómicos relevantes.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Se recomienda mejorar la calidad y cobertura de los datos, integrar fuentes de datos modernas, desarrollar modelos más complejos que incorporen factores socioeconómicos y validar los modelos de manera rigurosa mediante técnicas de validación cruzada.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Agricultura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América del sur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Gestión de cultivos,  Modelos de dinámica,  Producción de alimentos,  Retroalimentación negativa,  regional,  Series temporales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111/aab.12402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2026-04-02T00:36:09-05:00</dcterms:created>
  <dcterms:modified xsi:type="dcterms:W3CDTF">2026-04-02T00:36:09-05:00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