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Transformative science–policy interfacing: the case of biodiversity and ecosystem services</w:t>
      </w:r>
    </w:p>
    <w:p>
      <w:hyperlink r:id="rId7" w:history="1">
        <w:r>
          <w:rPr>
            <w:color w:val="1d4ed8"/>
            <w:u w:val="single"/>
          </w:rPr>
          <w:t xml:space="preserve">https://doi.org/10.1007/s11625-024-01593-4</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artículo plantea que el modelo tradicional en el que la ciencia produce conocimiento y la política lo utiliza ha sido ampliamente cuestionado y podría resultar ineficiente para abordar los desafíos actuales en biodiversidad. Desde un enfoque principalmente conceptual, propone avanzar hacia un enfoque transformador de las interfaces ciencia-política, donde no solo importa la generación de evidencia, sino también cómo se produce, quién participa y cómo se conecta con la toma de decisiones. Aunque iniciativas como IPBES han contribuido a reducir la incertidumbre y generar evidencia sólida sobre biodiversidad, esto no se ha traducido automáticamente en cambios en políticas, lo que evidencia una brecha persistente entre conocimiento y acción. 
En este marco, el artículo propone ocho directrices para orientar esta transición hacia interfaces más activas y orientadas al cambio: (1) el paso de la neutralidad a la promoción activa del cambio; (2) el énfasis en la implementación de políticas; (3) la articulación de múltiples interfaces; (4) la construcción de confianza a largo plazo; (5) el desarrollo de evaluaciones continuas; (6) la atención a las fases previas y posteriores a la coproducción; (7) la orientación a soluciones transformadoras; y (8) la producción de conocimiento basada en la demanda. En este sentido, el artículo sugiere que el desafío no radica únicamente en generar más evidencia, sino en fortalecer su traducción en acción pública, destacando el rol de la coproducción de conocimiento, la confianza entre actores, la relevancia política y la articulación institucional en este proceso.</w:t>
      </w:r>
    </w:p>
    <w:p/>
    <w:p>
      <w:pPr/>
      <w:r>
        <w:rPr>
          <w:rStyle w:val="rStyle"/>
        </w:rPr>
        <w:t xml:space="preserve">Metodología y datos</w:t>
      </w:r>
    </w:p>
    <w:p>
      <w:pPr/>
      <w:r>
        <w:rPr/>
        <w:t xml:space="preserve">El estudio se basa en un análisis conceptual y una revisión crítica de la evolución de las interfaces ciencia-política, con énfasis en el ámbito de biodiversidad y servicios ecosistémicos. Utiliza como referencia iniciativas internacionales como IPBES y otras experiencias europeas para examinar sus avances y limitaciones en la conexión entre ciencia y política. La evidencia se construye a partir de literatura académica y marcos teóricos, especialmente de los estudios de ciencia y tecnología (STS).</w:t>
      </w:r>
    </w:p>
    <w:p/>
    <w:p>
      <w:pPr/>
      <w:r>
        <w:rPr>
          <w:rStyle w:val="rStyle"/>
        </w:rPr>
        <w:t xml:space="preserve">Limitaciones de la investigación</w:t>
      </w:r>
    </w:p>
    <w:p>
      <w:pPr/>
      <w:r>
        <w:rPr/>
        <w:t xml:space="preserve">El estudio es principalmente conceptual y no incluye evidencia empírica que permita validar las directrices propuestas en la práctica. Además, se basa en experiencias internacionales, lo que puede dificultar comprender cómo se aplicarían en contextos específicos, especialmente en realidades con dinámicas territoriales más complejas. Asimismo, no profundiza en los posibles efectos que podría tener un enfoque más activo de la ciencia sobre su credibilidad y legitimidad en los procesos de toma de decisiones.</w:t>
      </w:r>
    </w:p>
    <w:p/>
    <w:p>
      <w:pPr/>
      <w:r>
        <w:rPr>
          <w:rStyle w:val="rStyle"/>
        </w:rPr>
        <w:t xml:space="preserve">Recomendaciones</w:t>
      </w:r>
    </w:p>
    <w:p>
      <w:pPr/>
      <w:r>
        <w:rPr/>
        <w:t xml:space="preserve">Se recomienda desarrollar estudios aplicados que permitan analizar cómo las directrices propuestas se implementan en contextos reales y qué tan efectivas son para influir en la toma de decisiones. Asimismo, es importante evaluar de manera más concreta los procesos de uso de la evidencia científica en la política, considerando distintos contextos territoriales y analizando factores como la confianza, la legitimidad y las capacidades institucionales que pueden facilitar o limitar su implementación en la práctica.</w:t>
      </w:r>
    </w:p>
    <w:p/>
    <w:p>
      <w:pPr/>
      <w:r>
        <w:rPr>
          <w:rStyle w:val="rStyle"/>
        </w:rPr>
        <w:t xml:space="preserve">Adaptación:</w:t>
      </w:r>
    </w:p>
    <w:p>
      <w:pPr/>
      <w:r>
        <w:rPr/>
        <w:t xml:space="preserve">Agua,  Bosques,  Agricultura,  Pesca y acuicultura ,  Salud,  Turismo,  Transporte</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Europa, Mundo</w:t>
      </w:r>
    </w:p>
    <w:p/>
    <w:p>
      <w:pPr/>
      <w:r>
        <w:rPr>
          <w:rStyle w:val="rStyle"/>
        </w:rPr>
        <w:t xml:space="preserve">Palabras clave:</w:t>
      </w:r>
    </w:p>
    <w:p>
      <w:pPr/>
      <w:r>
        <w:rPr/>
        <w:t xml:space="preserve">Ciencia-política, actores políticos, toma de decisiones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24-0159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2026-07-22T19:44:09-05:00</dcterms:created>
  <dcterms:modified xsi:type="dcterms:W3CDTF">2026-07-22T19:44:09-05:00</dcterms:modified>
</cp:coreProperties>
</file>

<file path=docProps/custom.xml><?xml version="1.0" encoding="utf-8"?>
<Properties xmlns="http://schemas.openxmlformats.org/officeDocument/2006/custom-properties" xmlns:vt="http://schemas.openxmlformats.org/officeDocument/2006/docPropsVTypes"/>
</file>