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Hurtado Burga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mostró que el conflicto minero en Santa Cruz, Cajamarca, desplazó la defensa del agua desde un reclamo por riego hacia la protección de cabeceras de cuenca, humedales y ecosistemas completos. Agricultores y rondas campesinas reinterpretaron los derechos de agua para incluir la naturaleza como parte del derecho mismo y articularon su demanda con discursos ambientales e indígenas. En La Zanja, la oposición local se sostuvo por años ante el temor de contaminación y pérdida de caudales; se reportaron niveles de plomo de 0,012 mg/L y de cadmio de 0,00052–0,00059 mg/L en zonas específicas. El artículo concluyó que los conflictos socioambientales reconfiguraron el sentido de los derechos de agua y fortalecieron la organización local para defender territorio y medios de vida.</w:t>
      </w:r>
    </w:p>
    <w:p/>
    <w:p>
      <w:pPr/>
      <w:r>
        <w:rPr>
          <w:rStyle w:val="rStyle"/>
        </w:rPr>
        <w:t xml:space="preserve">Metodología y datos</w:t>
      </w:r>
    </w:p>
    <w:p>
      <w:pPr/>
      <w:r>
        <w:rPr/>
        <w:t xml:space="preserve">El artículo se basó en un estudio de caso etnográfico y jurídico en la provincia de Santa Cruz y el distrito de Pulán, en la cuenca alta del Chancay-Lambayeque, dentro del entorno de La Zanja. La autora integró entrevistas a especialistas, observación de campo, revisión de documentos legales de archivos gubernamentales, informes de organizaciones sociales y ONG, y literatura académica. También incorporó el enfoque de Gestión Integrada de Recursos Hídricos (GIRH) de la Ley de Recursos Hídricos del Perú y el Convenio 169 de la Organización Internacional del Trabajo (OIT) como marcos de interpretación del conflicto.</w:t>
      </w:r>
    </w:p>
    <w:p/>
    <w:p>
      <w:pPr/>
      <w:r>
        <w:rPr>
          <w:rStyle w:val="rStyle"/>
        </w:rPr>
        <w:t xml:space="preserve">Limitaciones de la investigación</w:t>
      </w:r>
    </w:p>
    <w:p>
      <w:pPr/>
      <w:r>
        <w:rPr/>
        <w:t xml:space="preserve">La investigación se apoyó sobre todo en evidencia cualitativa y documental, por lo que no incluyó un monitoreo hidrológico continuo ni mediciones ambientales propias a largo del tiempo. Además, el propio texto señaló vacíos de información sobre los derechos locales de agua en la parte alta de la cuenca, especialmente en Santa Cruz, lo que redujo la posibilidad de cuantificar con precisión todos los usos y afectaciones ocasionados. Al tratarse de un caso puntual, sus hallazgos fueron muy sólidos para entender esa disputa, pero no permitieron generalizar sin cautela a todas las cuencas mineras del país.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Cajamarca,  provincia de Santa Cruz,  distrito de Pulán,  cuenca alta del Chancay-Lambayeque,  norte del Perú.</w:t>
      </w:r>
    </w:p>
    <w:p/>
    <w:p>
      <w:pPr/>
      <w:r>
        <w:rPr>
          <w:rStyle w:val="rStyle"/>
        </w:rPr>
        <w:t xml:space="preserve">Palabras clave:</w:t>
      </w:r>
    </w:p>
    <w:p>
      <w:pPr/>
      <w:r>
        <w:rPr/>
        <w:t xml:space="preserve">Conflictos socioambientales; cuencas; gestión hídrica; minería; participación comunal; rondas campesinas.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2026-07-22T21:46:39-05:00</dcterms:created>
  <dcterms:modified xsi:type="dcterms:W3CDTF">2026-07-22T21:46:39-05:00</dcterms:modified>
</cp:coreProperties>
</file>

<file path=docProps/custom.xml><?xml version="1.0" encoding="utf-8"?>
<Properties xmlns="http://schemas.openxmlformats.org/officeDocument/2006/custom-properties" xmlns:vt="http://schemas.openxmlformats.org/officeDocument/2006/docPropsVTypes"/>
</file>