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Climate change impacts on cultural heritage: A literature review</w:t>
      </w:r>
    </w:p>
    <w:p>
      <w:hyperlink r:id="rId7" w:history="1">
        <w:r>
          <w:rPr>
            <w:color w:val="1d4ed8"/>
            <w:u w:val="single"/>
          </w:rPr>
          <w:t xml:space="preserve">https://doi.org/10.1002/wcc.710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Reyes Larico Juan A.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>Agudelo Rendón Jhoana</w:t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Corrosión en Metales y Materiales Calcáreos: Se encontró que la corrosión en materiales calcáreos, especialmente en áreas costeras y expuestas a contaminantes, aumenta debido a la interacción con precipitaciones y contaminantes  como el dióxido de azufre que en contacto con la humedad forma el acido sulfúrico.
Efectos en Materiales Porosos: La cristalización de sales en materiales porosos, incrementada por ciclos de humedad, provoca fracturas y pérdida de cohesión estructural, principalmente en monumentos hechos de piedra caliza y mármol.
El cambio climático intensifica la degradación del patrimonio cultural, especialmente mediante la corrosión en ambientes húmedos y expuestos a la salinidad y a cambios de temperatura. Las zonas costeras y aquellas con alta contaminación atmosférica son las más afectadas, ya que las lluvias ácidas y la elevación de la humedad aumentan la velocidad de corrosión y degradación.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El estudio realiza una revisión sistemática de la literatura, enfocándose en artículos que exploran cómo los cambios climáticos y ambientales afectan al patrimonio cultural tangible, como edificios históricos y monumentos. Se emplearon bases de datos como ScienceDirect y Google Scholar para seleccionar artículos relevantes que incluyeran términos específicos como “corrosión”, “degradación biológica” y otros relacionados con mecanismos de deterioro en el contexto del cambio climático.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Escala Temporal y Geográfica: Los estudios se limitan a proyecciones a nivel regional, principalmente en Europa, y es difícil generalizar estos hallazgos para otras regiones con diferentes climas y patrones de contaminación.
Datos de Calidad Limitada: La variabilidad en las fuentes de datos sobre contaminación y cambios climáticos dificulta la comparación entre estudios, lo que puede limitar la precisión de los modelos predictivos.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>1.	Monitoreo Continuo y Predicción: Implementar sistemas de monitoreo más robustos en monumentos vulnerables para evaluar cambios en el ambiente y la degradación de materiales en tiempo real.
2.	Desarrollo de Materiales Resistentes: Investigar materiales de construcción más resistentes a la corrosión y biocombustibles para evitar el daño por contaminación.
3.	Adaptación de Infraestructuras de Protección: En áreas altamente vulnerables, construir barreras físicas o implementar recubrimientos protegidos
recubrimientos protectores en estructuras históricas.
4.	Estudios Comparativos Globales: Promover investigaciones en otras regiones del mundo para comparar la vulnerabilidad de distintos tipos de patrimonio cultural a los efectos del cambio climático</w:t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Turismo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Energía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Global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Europa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Patrimonio cultural,  cambio climatico,  corrosion,  adaptación y protección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1002/wcc.710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2026-09-22T05:36:51-05:00</dcterms:created>
  <dcterms:modified xsi:type="dcterms:W3CDTF">2026-09-22T05:36:51-05:00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