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adverse scenarios for a transboundary coastal aquifer system in the Atacama Desert (Peru/Chile)</w:t>
      </w:r>
    </w:p>
    <w:p>
      <w:hyperlink r:id="rId7" w:history="1">
        <w:r>
          <w:rPr>
            <w:color w:val="1d4ed8"/>
            <w:u w:val="single"/>
          </w:rPr>
          <w:t xml:space="preserve">https://doi.org/10.1016/j.scitotenv.2021.150386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Experimentos numéricos bajo escenarios climáticos futuros (hasta el 2040) sugieren que el acuífero binacional (Perú/Chile) de Caplina y Concordia, desierto de Atacama, el cual presenta problemas de sobreexplotación, mantendrá una disminución progresiva del nivel del agua subterránea y problemas de intrusión salina. Estos problemas son poco mitigados incluso teniendo en cuenta medidas de manejo de recursos hídricos, particularmente 1) un trasvase de 11.35 hm3/año para abastecimiento de agua en Tacna y 2) cambio de irrigación superficial a irrigación por goteo, reduciendo las extracciones de 200 a 170 hm3/año. El escenario donde se produce el trasvase de 11.35 hm3/año podría revertir la disminución del nivel del agua subterránea en un pozo de la ciudad de Tacna, pero estos efectos son poco significativos en los pozos de zonas agrícolas más cercanos al mar, donde se prevé disminuciones de 0.5m hasta 16m entre 2020 y 2040 en el nivel del agua subterránea.</w:t>
      </w:r>
    </w:p>
    <w:p/>
    <w:p>
      <w:pPr/>
      <w:r>
        <w:rPr>
          <w:rStyle w:val="rStyle"/>
        </w:rPr>
        <w:t xml:space="preserve">Metodología y datos</w:t>
      </w:r>
    </w:p>
    <w:p>
      <w:pPr/>
      <w:r>
        <w:rPr/>
        <w:t xml:space="preserve">Se utilizó el modelo de aguas subterráneas FEFLOW calibrado con 48 observaciones de nivel piezométrico en el dominio del acuífero de Caplina y Concordia, forzando el modelo con condiciones estacionarias hasta el 2001 y en modo transiente desde el 2002 hasta el 2019. Se forzó a FEFLOW con la precipitación del modelo del clima global (GCM) MIROC-ES2L de CMIP6 bajo escenarios SSP2 y SSP5. Se aplicaron dos escenarios de manejo de recursos hídricos: 1) un trasvase de 11.35 hm3/año para abastecimiento de agua en Tacna y 2) cambio de irrigación superficial a irrigación por goteo, reduciendo las extracciones de 200 a 170 hm3/año; ambos escenarios han sido planificados por las autoridades de ambos países. Además, se consideró 3) la combinación de los escenarios de gestión 1 y 2 y 4) business as usual. No se prevé una disminución en la extracción de agua subterránea pero tampoco un aumento ya que se ejercen mayores controles sobre esta acción por fines agrícolas. En total, se simularon 8 escenarios: 2 escenarios climáticos x 4 escenarios de gestión de recursos hídricos. Los resultados son analizados para 6 pozos representativos: 5 en Perú y uno en Chile.</w:t>
      </w:r>
    </w:p>
    <w:p/>
    <w:p>
      <w:pPr/>
      <w:r>
        <w:rPr>
          <w:rStyle w:val="rStyle"/>
        </w:rPr>
        <w:t xml:space="preserve">Limitaciones de la investigación</w:t>
      </w:r>
    </w:p>
    <w:p>
      <w:pPr/>
      <w:r>
        <w:rPr/>
        <w:t xml:space="preserve">1. Se utilizaron los escenarios de un solo GCM, sin mostrarse el cambio anual en la precipitación; además, el tratamiento de la información climática no es muy clara y no se mencionan técnicas de corrección de las salidas del GCM. 2. La recarga del acuífero es un proceso con altas incertidumbres debido a limitaciones observacionales meteorológicas y del acuífero.</w:t>
      </w:r>
    </w:p>
    <w:p/>
    <w:p>
      <w:pPr/>
      <w:r>
        <w:rPr>
          <w:rStyle w:val="rStyle"/>
        </w:rPr>
        <w:t xml:space="preserve">Recomendaciones</w:t>
      </w:r>
    </w:p>
    <w:p>
      <w:pPr/>
      <w:r>
        <w:rPr/>
        <w:t xml:space="preserve">Deberían mostrarse los cambios futuros en la precipitación del GCM con la que se fuerza FEFLOW; además, considerar utilizar un ensamble de GCMs o, mejor aún, modelos del clima regional como CORDEX, donde las heterogeneidades del terreno en una región de alta variación geográfica son mejores representadas. Las responsabilidades, intereses  y pesos de los stakeholders podrían ser tenidos en cuenta para enriquecer los escenarios de manejo de recursos hídricos.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Desierto de Atacama, Caplina, La Yarada, Tacna, Perú, Concordia, Chile</w:t>
      </w:r>
    </w:p>
    <w:p/>
    <w:p>
      <w:pPr/>
      <w:r>
        <w:rPr>
          <w:rStyle w:val="rStyle"/>
        </w:rPr>
        <w:t xml:space="preserve">Palabras clave:</w:t>
      </w:r>
    </w:p>
    <w:p>
      <w:pPr/>
      <w:r>
        <w:rPr/>
        <w:t xml:space="preserve">Sobreexplotación de agua subterránea, Intrusión de agua marina, Modelado hidrogeológico, CMIP6, Atacama, Caplina,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503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2026-04-02T10:37:29-05:00</dcterms:created>
  <dcterms:modified xsi:type="dcterms:W3CDTF">2026-04-02T10:37:29-05:00</dcterms:modified>
</cp:coreProperties>
</file>

<file path=docProps/custom.xml><?xml version="1.0" encoding="utf-8"?>
<Properties xmlns="http://schemas.openxmlformats.org/officeDocument/2006/custom-properties" xmlns:vt="http://schemas.openxmlformats.org/officeDocument/2006/docPropsVTypes"/>
</file>