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Climate change, power, and vulnerabilities in the Peruvian Highlands</w:t>
      </w:r>
    </w:p>
    <w:p>
      <w:hyperlink r:id="rId7" w:history="1">
        <w:r>
          <w:rPr>
            <w:color w:val="1d4ed8"/>
            <w:u w:val="single"/>
          </w:rPr>
          <w:t xml:space="preserve">https://doi.org/10.1007/s10113-021-01825-8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Crisóstomo Damian Lesly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Drenkhan Fabian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Resultados:
En los contextos estudiados, la vulnerabilidad climática se refleja como resultado de la interacción de variables tanto físicas como sociales, siendo principalmente la interacción entre el cambio climático, la desigualdad histórica, y las dinámicas de poder multiescalares.
A pesar de las normativas legales y adaptación a los convenios internacionales, las respuestas estatales se encuentran desconectadas del contexto rural, basadas en enfoques tecnocráticos y débil participación comunitaria. Además, frecuentemente son ignorados los saberes locales y valores culturales ligados al agua y el paisaje, lo que refuerza la marginación de las comunidades campesinas andinas.
Con el paso de los años, se identifican severos impactos a las fuentes de provisión hídrica, lo cual está ligado estrechamente al impacto del cambio climático como derretimiento glaciar, sequías más frecuentes, lluvias impredecibles y escasa cobertura de riego.
Conclusiones:
La vulnerabilidad climática del agua está profundamente mediada por factores políticos, económicos e institucionales, además de su valor biofísico.
Actualmente las políticas nacionales invisibilizan las necesidades y conocimientos de los pequeños productores, favoreciendo a las empresas agroexportadoras. 
La adaptación efectiva al cambio climático requiere no requiere soluciones superficiales como "capacitación" y "concienciación", sino el reconocimiento y redistribución del poder en la gestión del agua, así como integrar enfoques culturales y territoriales en las intervenciones.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artículo tiene un enfoque cualitativo por medio del cual se realizaron entrevistas a los agricultores y ganaderos locales, además de representantes de instituciones y actores políticos, reuniones locales, análisis documental de planes y políticas como la ENCC, el ERCC y presupuestos regionales.
Este diseño permitió un análisis multiescalar y transversal, capturando tanto percepciones locales como dinámicas institucionales y discursivas en torno a la gestión del agua y la adaptación.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Limitación geográfica: aunque representativa, la investigación se centra solo en el valle del Mantaro, lo que puede dificultar la generalización a otras regiones andinas o rurales del país, donde divergen otras características del territorio.
Perspectiva temporal: el estudio abarca un período puntual (2019), por lo que no capta cambios posteriores en políticas o percepciones.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Ampliar el estudio a otras regiones altoandinas para comparar dinámicas de vulnerabilidad hídrica.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Cuenca del río Mantaro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Cambio Climático, agua, recursos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7/s10113-021-01825-8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2026-11-07T23:48:06-05:00</dcterms:created>
  <dcterms:modified xsi:type="dcterms:W3CDTF">2026-11-07T23:48:06-05:00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