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Climate change, power, and vulnerabilities in the Peruvian Highlands</w:t>
      </w:r>
    </w:p>
    <w:p>
      <w:hyperlink r:id="rId7" w:history="1">
        <w:r>
          <w:rPr>
            <w:color w:val="1d4ed8"/>
            <w:u w:val="single"/>
          </w:rPr>
          <w:t xml:space="preserve">https://doi.org/10.1007/s10113-021-01825-8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Crisóstomo Damian Lesly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>Drenkhan Fabian</w:t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Resultados:
En los contextos estudiados, la vulnerabilidad climática se refleja como resultado de la interacción de variables tanto físicas como sociales, siendo principalmente la interacción entre el cambio climático, la desigualdad histórica, y las dinámicas de poder multiescalares.
A pesar de las normativas legales y adaptación a los convenios internacionales, las respuestas estatales se encuentran desconectadas del contexto rural, basadas en enfoques tecnocráticos y débil participación comunitaria. Además, frecuentemente son ignorados los saberes locales y valores culturales ligados al agua y el paisaje, lo que refuerza la marginación de las comunidades campesinas andinas.
Con el paso de los años, se identifican severos impactos a las fuentes de provisión hídrica, lo cual está ligado estrechamente al impacto del cambio climático como derretimiento glaciar, sequías más frecuentes, lluvias impredecibles y escasa cobertura de riego.
Conclusiones:
La vulnerabilidad climática del agua está profundamente mediada por factores políticos, económicos e institucionales, además de su valor biofísico.
Actualmente las políticas nacionales invisibilizan las necesidades y conocimientos de los pequeños productores, favoreciendo a las empresas agroexportadoras. 
La adaptación efectiva al cambio climático requiere no requiere soluciones superficiales como "capacitación" y "concienciación", sino el reconocimiento y redistribución del poder en la gestión del agua, así como integrar enfoques culturales y territoriales en las intervenciones.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El artículo tiene un enfoque cualitativo por medio del cual se realizaron entrevistas a los agricultores y ganaderos locales, además de representantes de instituciones y actores políticos, reuniones locales, análisis documental de planes y políticas como la ENCC, el ERCC y presupuestos regionales.
Este diseño permitió un análisis multiescalar y transversal, capturando tanto percepciones locales como dinámicas institucionales y discursivas en torno a la gestión del agua y la adaptación.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Limitación geográfica: aunque representativa, la investigación se centra solo en el valle del Mantaro, lo que puede dificultar la generalización a otras regiones andinas o rurales del país, donde divergen otras características del territorio.
Perspectiva temporal: el estudio abarca un período puntual (2019), por lo que no capta cambios posteriores en políticas o percepciones.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>Ampliar el estudio a otras regiones altoandinas para comparar dinámicas de vulnerabilidad hídrica.</w:t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Agua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Agricultura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Nacional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Cuenca del río Mantaro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Cambio Climático, agua, recursos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1007/s10113-021-01825-8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2026-09-21T20:56:23-05:00</dcterms:created>
  <dcterms:modified xsi:type="dcterms:W3CDTF">2026-09-21T20:56:23-05:00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