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future climate change exposure of marine habitat in the South East Pacific based on metabolic constraints</w:t>
      </w:r>
    </w:p>
    <w:p>
      <w:hyperlink r:id="rId7" w:history="1">
        <w:r>
          <w:rPr>
            <w:color w:val="1d4ed8"/>
            <w:u w:val="single"/>
          </w:rPr>
          <w:t xml:space="preserve">https://doi.org/10.3389/fmars.2022.1055875</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La parte superior de la zona de mínima de oxígeno (OMZ) del Pacífico sudeste puede ser considerada como un zona o hábitat 'seguro' para las especies marinas modelo (es decir, que tienen rasgo medios de especies reales que habitat diferentes regiones del océano). Principalmente, este artículo propone una metodología general para inferir áreas ámplias de exposición al cambio climático independiente de la especie específica.</w:t>
      </w:r>
    </w:p>
    <w:p/>
    <w:p>
      <w:pPr/>
      <w:r>
        <w:rPr>
          <w:rStyle w:val="rStyle"/>
        </w:rPr>
        <w:t xml:space="preserve">Metodología y datos</w:t>
      </w:r>
    </w:p>
    <w:p>
      <w:pPr/>
      <w:r>
        <w:rPr/>
        <w:t xml:space="preserve">Se usan los de datos de temperatura, salinidad y oxígeno de 34 miembro que forman parte de la simulación global del Modelo del Sistema Terrestre (CESM-LE) bajo el escenario de altas emisiones de gases de efecto invernadero (RCP 8.5 o ‘‘bussiness as usual’’), cubriendo el periodo 2006-2100, para calcular las velocidades climáticas del índice metabólico (CVΦ, que indica la velocidad y la dirección a la que están cambiando las condiciones climáticas locales).</w:t>
      </w:r>
    </w:p>
    <w:p/>
    <w:p>
      <w:pPr/>
      <w:r>
        <w:rPr>
          <w:rStyle w:val="rStyle"/>
        </w:rPr>
        <w:t xml:space="preserve">Limitaciones de la investigación</w:t>
      </w:r>
    </w:p>
    <w:p>
      <w:pPr/>
      <w:r>
        <w:rPr/>
        <w:t xml:space="preserve">Si bien el modelo empleado captura adecuadamente el patrón de distribución espacial a gran escala del oxígeno disuelto y exhibe la coincidencia más cercana a las observaciones en el Pacífico tropical, tiende a sobreestimar el volumen y la extensión espacial de las zonas de mínima de oxígeno del Pacífico tropical.</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velocidad climática, índice metabólico, zóna mínima de oxígeno, océano Pacífico sudeste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22.10558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2026-04-02T13:40:00-05:00</dcterms:created>
  <dcterms:modified xsi:type="dcterms:W3CDTF">2026-04-02T13:40:00-05:00</dcterms:modified>
</cp:coreProperties>
</file>

<file path=docProps/custom.xml><?xml version="1.0" encoding="utf-8"?>
<Properties xmlns="http://schemas.openxmlformats.org/officeDocument/2006/custom-properties" xmlns:vt="http://schemas.openxmlformats.org/officeDocument/2006/docPropsVTypes"/>
</file>