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Ecosystems, watersheds and water rights in Cajamarca, Peru</w:t>
      </w:r>
    </w:p>
    <w:p>
      <w:hyperlink r:id="rId7" w:history="1">
        <w:r>
          <w:rPr>
            <w:color w:val="1d4ed8"/>
            <w:u w:val="single"/>
          </w:rPr>
          <w:t xml:space="preserve">https://doi.org/10.1080/27706869.2024.2334533</w:t>
        </w:r>
      </w:hyperlink>
    </w:p>
    <w:p/>
    <w:p/>
    <w:p>
      <w:pPr/>
      <w:r>
        <w:rPr>
          <w:rStyle w:val="rStyle"/>
        </w:rPr>
        <w:t xml:space="preserve">Intérprete</w:t>
      </w:r>
    </w:p>
    <w:p>
      <w:pPr/>
      <w:r>
        <w:rPr/>
        <w:t xml:space="preserve">Quispe Mamani Tomás</w:t>
      </w:r>
    </w:p>
    <w:p/>
    <w:p>
      <w:pPr/>
      <w:r>
        <w:rPr>
          <w:rStyle w:val="rStyle"/>
        </w:rPr>
        <w:t xml:space="preserve">Revisor(a)</w:t>
      </w:r>
    </w:p>
    <w:p>
      <w:pPr/>
      <w:r>
        <w:rPr/>
        <w:t xml:space="preserve">Luna-Celino Vanessa</w:t>
      </w:r>
    </w:p>
    <w:p/>
    <w:p>
      <w:pPr/>
      <w:r>
        <w:rPr>
          <w:rStyle w:val="rStyle"/>
        </w:rPr>
        <w:t xml:space="preserve">Resultados y conclusiones</w:t>
      </w:r>
    </w:p>
    <w:p>
      <w:pPr/>
      <w:r>
        <w:rPr/>
        <w:t xml:space="preserve">Los resultados de la investigación muestran que los agricultores y ronderos de Santa Cruz, Cajamarca, han dejado de ver el agua simplemente como un recurso para el riego, redefiniéndola como parte esencial de un sistema ecológico completo que incluye las cabeceras de cuenca. Debido a los impactos negativos de la minería, como la contaminación por metales pesados y la muerte de ganado, las comunidades expandieron el alcance de sus derechos de agua para exigir la protección de todo el ecosistema donde nace y fluye el recurso hídrico.
Para enfrentar el poder de las empresas y la falta de respuesta gubernamental, los pobladores formaron alianzas estratégicas entre las comunidades de la parte alta y los usuarios de agua de las zonas bajas en la costa, logrando que la defensa se organizara a escala de cuenca Chancay Lambayeque. Además, utilizaron ensamblajes legales, combinando sus conocimientos tradicionales con discursos ambientales globales y leyes internacionales, como el Convenio 169 de la OIT, para dar mayor fuerza política a sus reclamos. De esta forma, el conflicto socioambiental tuvo un carácter productivo al obligar a las organizaciones locales a fortalecer su capacidad política y reformular sus demandas para proteger sus medios de vida.
Como conclusión relevante, el estudio resalta que los derechos de agua en los Andes son fluidos y metamórficos, ya que se adaptan y cambian cuando el entorno natural está en riesgo. También se concluye que el Estado peruano tiende a priorizar los intereses corporativos sobre las demandas locales, lo que irónicamente alimenta la resistencia y empuja a las comunidades a buscar apoyo internacional y nuevas formas de defensa legal. En última instancia, se establece que proteger el agua es inseparable de proteger la integridad de la tierra y los ecosistemas, lo que requiere un enfoque que reconozca tanto el valor económico como el valor intrínseco de la naturaleza en la cuenca.</w:t>
      </w:r>
    </w:p>
    <w:p/>
    <w:p>
      <w:pPr/>
      <w:r>
        <w:rPr>
          <w:rStyle w:val="rStyle"/>
        </w:rPr>
        <w:t xml:space="preserve">Metodología y datos</w:t>
      </w:r>
    </w:p>
    <w:p>
      <w:pPr/>
      <w:r>
        <w:rPr/>
        <w:t xml:space="preserve">Para la recolección de información, la autora empleó diversas técnicas que incluyen entrevistas a expertos y observación de campo directa en la zona de estudio. Además, la investigación integra datos demográficos y socioeconómicos para caracterizar a la población afectada, utilizando fuentes como el Estudio de Impacto Ambiental del proyecto (2007) y proyecciones de población del INEI (2020), lo que permite contrastar la situación antes y después del inicio de la explotación minera.
Una fuente fundamental de datos proviene de la revisión de documentos legales y archivos gubernamentales, particularmente de archivos del año 2012, así como de informes elaborados por organizaciones sociales y ONGs. La base de evidencia se complementa con estudios técnicos externos, como informes de calidad de agua de la Universidad Nacional Pedro Ruiz Gallo (2009) y expedientes del Ministerio del Ambiente (2011) sobre la problemática socioambiental en Cajamarca, lo que permite sustentar las denuncias de contaminación con datos científicos.</w:t>
      </w:r>
    </w:p>
    <w:p/>
    <w:p>
      <w:pPr/>
      <w:r>
        <w:rPr>
          <w:rStyle w:val="rStyle"/>
        </w:rPr>
        <w:t xml:space="preserve">Limitaciones de la investigación</w:t>
      </w:r>
    </w:p>
    <w:p>
      <w:pPr/>
      <w:r>
        <w:rPr/>
        <w:t xml:space="preserve">La investigación sobre el conflicto en torno a la mina La Zanja en Cajamarca deja varias lecciones aprendidas sobre la evolución de los derechos de agua y la resistencia social en contextos extractivos:
•	El derecho al agua va más allá del riego: Una lección central es que, en entornos de conflicto, el agua trasciende su estatus de simple recurso para la agricultura y se convierte en un símbolo de la defensa integral del ecosistema y la cuenca. Los agricultores y ronderos de Santa Cruz demostraron que los derechos locales de agua son metamórficos y fluidos; es decir, se expanden y adaptan para proteger la naturaleza (como las cabeceras de cuenca) cuando esta se ve amenazada por la contaminación.
•	El poder de los ensamblajes legales: La investigación enseña que las comunidades locales no solo dependen de sus tradiciones, sino que construyen estrategias legales sofisticadas al articular sus conocimientos ancestrales con discursos ambientales globales y marcos internacionales como el Convenio 169 de la OIT. Al adoptar principios como la Gestión Integrada de Recursos Hídricos (GIRH), lograron validar sus reclamos ante audiencias nacionales e internacionales.
•	La importancia de la escala de cuenca: El conflicto subraya que la defensa del agua es más efectiva cuando se organiza a nivel de toda la cuenca hidrográfica. La alianza estratégica entre los habitantes de la parte alta (Cajamarca) y los usuarios de la parte baja en la costa (Lambayeque) fue clave para visibilizar que los impactos mineros en las cabeceras afectan la vida de miles de personas río abajo.</w:t>
      </w:r>
    </w:p>
    <w:p/>
    <w:p>
      <w:pPr/>
      <w:r>
        <w:rPr>
          <w:rStyle w:val="rStyle"/>
        </w:rPr>
        <w:t xml:space="preserve">Recomendaciones</w:t>
      </w:r>
    </w:p>
    <w:p>
      <w:pPr/>
      <w:r>
        <w:rPr/>
        <w:t xml:space="preserve">Se recomienda que las comunidades fortalezcan estrategias legales articulando conocimientos tradicionales con marcos internacionales (como el Convenio 169 de la OIT) y enfoques como la GIRH, promoviendo además la organización a nivel de cuenca y alianzas entre zonas altas, medias y bajas.
Finalmente, se sugiere que el Estado priorice las demandas locales sobre los intereses corporativos, mejore su respuesta institucional y evite visiones simplistas de las comunidades, reconociendo su complejidad social y necesidades reales.</w:t>
      </w:r>
    </w:p>
    <w:p/>
    <w:p>
      <w:pPr/>
      <w:r>
        <w:rPr>
          <w:rStyle w:val="rStyle"/>
        </w:rPr>
        <w:t xml:space="preserve">Adaptación:</w:t>
      </w:r>
    </w:p>
    <w:p>
      <w:pPr/>
      <w:r>
        <w:rPr/>
        <w:t xml:space="preserve">Agua,  Agricultura,  Salud</w:t>
      </w:r>
    </w:p>
    <w:p/>
    <w:p>
      <w:pPr/>
      <w:r>
        <w:rPr>
          <w:rStyle w:val="rStyle"/>
        </w:rPr>
        <w:t xml:space="preserve">Mitigación:</w:t>
      </w:r>
    </w:p>
    <w:p>
      <w:pPr/>
      <w:r>
        <w:rPr/>
        <w:t xml:space="preserve">Agricultura,  Desechos</w:t>
      </w:r>
    </w:p>
    <w:p/>
    <w:p>
      <w:pPr/>
      <w:r>
        <w:rPr>
          <w:rStyle w:val="rStyle"/>
        </w:rPr>
        <w:t xml:space="preserve">Escala:</w:t>
      </w:r>
    </w:p>
    <w:p>
      <w:pPr/>
      <w:r>
        <w:rPr/>
        <w:t xml:space="preserve">Nacional</w:t>
      </w:r>
    </w:p>
    <w:p/>
    <w:p>
      <w:pPr/>
      <w:r>
        <w:rPr>
          <w:rStyle w:val="rStyle"/>
        </w:rPr>
        <w:t xml:space="preserve">Ámbito geográfico:</w:t>
      </w:r>
    </w:p>
    <w:p>
      <w:pPr/>
      <w:r>
        <w:rPr/>
        <w:t xml:space="preserve">Cajamarca,  Lambayeque</w:t>
      </w:r>
    </w:p>
    <w:p/>
    <w:p>
      <w:pPr/>
      <w:r>
        <w:rPr>
          <w:rStyle w:val="rStyle"/>
        </w:rPr>
        <w:t xml:space="preserve">Palabras clave:</w:t>
      </w:r>
    </w:p>
    <w:p>
      <w:pPr/>
      <w:r>
        <w:rPr/>
        <w:t xml:space="preserve">Agua,  Salud, Normativa , OIT , GIRH, Ronderos,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7706869.2024.23345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2026-05-18T16:15:51-05:00</dcterms:created>
  <dcterms:modified xsi:type="dcterms:W3CDTF">2026-05-18T16:15:51-05:00</dcterms:modified>
</cp:coreProperties>
</file>

<file path=docProps/custom.xml><?xml version="1.0" encoding="utf-8"?>
<Properties xmlns="http://schemas.openxmlformats.org/officeDocument/2006/custom-properties" xmlns:vt="http://schemas.openxmlformats.org/officeDocument/2006/docPropsVTypes"/>
</file>