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Multi-time scale analysis of the water level minima in Lake Titicaca over the past 103 years</w:t>
      </w:r>
    </w:p>
    <w:p>
      <w:hyperlink r:id="rId7" w:history="1">
        <w:r>
          <w:rPr>
            <w:color w:val="1d4ed8"/>
            <w:u w:val="single"/>
          </w:rPr>
          <w:t xml:space="preserve">https://doi.org/10.3389/fclim.2025.1564040</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Los resultados del estudio muestran que las fluctuaciones extremas del nivel del Lago Titicaca (LTWL), en el periodo 1921–2023, presentan una periodicidad decenal, con ciclos de aproximadamente 11 a 15 años. Los episodios de niveles bajos del LTWL (&lt; -0.47 m) se asocian con un debilitamiento del transporte de humedad desde la Amazonía hacia el Lago Titicaca.
En cuanto a su duración, el 25% de los episodios de niveles bajos del LTWL se prolonga menos de 5 meses, mientras que el 75% supera los 9 meses. Aunque presentan una naturaleza decenal, los episodios prolongados de niveles bajos del LTWL (&gt; 9 meses) no pueden atribuirse a la Oscilación Decadal del Pacífico (PDO) ni a la Oscilación Interdecadal del Pacífico (IPO), dado que las correlaciones no son consistentes a lo largo de todo el periodo analizado.
No obstante, los episodios de niveles bajos se relacionan con distintos patrones de circulación atmosférica y de temperatura superficial del mar en los océanos Pacífico y Atlántico, los cuales varían según las fases de la PDO en la banda 11-15-años.</w:t>
      </w:r>
    </w:p>
    <w:p/>
    <w:p>
      <w:pPr/>
      <w:r>
        <w:rPr>
          <w:rStyle w:val="rStyle"/>
        </w:rPr>
        <w:t xml:space="preserve">Metodología y datos</w:t>
      </w:r>
    </w:p>
    <w:p>
      <w:pPr/>
      <w:r>
        <w:rPr/>
        <w:t xml:space="preserve">Se utilizó la serie mensual del nivel del agua del Lago Titicaca correspondiente al periodo 1921-2023. Para el mismo periodo, se emplearon los datos mensuales del reanálisis ERA-20C, incluyendo transporte de humedad integrado verticalmente y divergencia. Además, se utilizaron los datos mensuales de temperatura superficial del mar (TSM) de HadISST v1.1 y las series mensuales de los índices PDO e IPO.
Para identificar los principales modos de variabilidad del nivel del Lago Titicaca (LTWL), se aplicó la técnica de Descomposición Robusta de Modos Empíricos (REMD; Liu, 2024). Posteriormente, se implementó un modelo de regresión lineal múltiple (MLR) para reconstruir la serie mensual de LTWL. Los predictores del modelo MLR correspondieron a los modos identificados mediante la técnica REMD. Para eliminar la variabilidad de onda larga, los coeficientes asociados a los modos con periodos mayores a 30 años se igualaron a cero. Este procedimiento permite identificar un mayor número de episodios extremos de LTWL en comparación con el criterio basado en el valor medio del nivel de agua
Para caracterizar los patrones de circulación atmosférica regional y su relación con la TSM, se aplicó el criterio de compuestos. Finalmente, la componente decenal del índice PDO se extrajo mediante un filtro pasabanda de 12 a 15 años.</w:t>
      </w:r>
    </w:p>
    <w:p/>
    <w:p>
      <w:pPr/>
      <w:r>
        <w:rPr>
          <w:rStyle w:val="rStyle"/>
        </w:rPr>
        <w:t xml:space="preserve">Limitaciones de la investigación</w:t>
      </w:r>
    </w:p>
    <w:p>
      <w:pPr/>
      <w:r>
        <w:rPr/>
        <w:t xml:space="preserve">Faltó analizar las series mensuales largas (&gt; 100 años) de precipitación, evapotranspiración y causales para poder realizar un balance hídrico del nivel de agua del Lago Titicaca.</w:t>
      </w:r>
    </w:p>
    <w:p/>
    <w:p>
      <w:pPr/>
      <w:r>
        <w:rPr>
          <w:rStyle w:val="rStyle"/>
        </w:rPr>
        <w:t xml:space="preserve">Recomendaciones</w:t>
      </w:r>
    </w:p>
    <w:p>
      <w:pPr/>
      <w:r>
        <w:rPr/>
        <w:t xml:space="preserve">Se recomienda realizar simulaciones atmosféricas o acopladas largas para explicar el cambio de la correlación entre los eventos extremos de LTWL y la PDO.</w:t>
      </w:r>
    </w:p>
    <w:p/>
    <w:p>
      <w:pPr/>
      <w:r>
        <w:rPr>
          <w:rStyle w:val="rStyle"/>
        </w:rPr>
        <w:t xml:space="preserve">Adaptación:</w:t>
      </w:r>
    </w:p>
    <w:p>
      <w:pPr/>
      <w:r>
        <w:rPr/>
        <w:t xml:space="preserve">Agua,  Agricultura,  Pesca y acuicultura ,  Turismo,  Transporte,  Salud</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Puno, Altiplano Boliviano</w:t>
      </w:r>
    </w:p>
    <w:p/>
    <w:p>
      <w:pPr/>
      <w:r>
        <w:rPr>
          <w:rStyle w:val="rStyle"/>
        </w:rPr>
        <w:t xml:space="preserve">Palabras clave:</w:t>
      </w:r>
    </w:p>
    <w:p>
      <w:pPr/>
      <w:r>
        <w:rPr/>
        <w:t xml:space="preserve">Nivel de agua del Lago Titicaca, eventos extremos de nivel de agua del Lago Titicaca, Oscilación Decadal del Pacífico, variabilidad decenal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clim.2025.15640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2026-04-02T10:26:41-05:00</dcterms:created>
  <dcterms:modified xsi:type="dcterms:W3CDTF">2026-04-02T10:26:41-05:00</dcterms:modified>
</cp:coreProperties>
</file>

<file path=docProps/custom.xml><?xml version="1.0" encoding="utf-8"?>
<Properties xmlns="http://schemas.openxmlformats.org/officeDocument/2006/custom-properties" xmlns:vt="http://schemas.openxmlformats.org/officeDocument/2006/docPropsVTypes"/>
</file>