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Castro Jenyfer Yadira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revela que, aunque actualmente existe una amplia disponibilidad hídrica en la cuenca VUB, a partir del 2050 se proyecta una demanda insatisfecha creciente debido al aumento poblacional y la demanda agrícola. Para 2071–2099, se estima un déficit de hasta 477 hm³/año (RCP 4.5) y 446 hm³/año (RCP 8.5). Sin embargo, implementar estrategias de gestión como el control del crecimiento poblacional y mejoras en eficiencia de riego permitiría reducir esta demanda insatisfecha hasta en un 50%.</w:t>
      </w:r>
    </w:p>
    <w:p/>
    <w:p>
      <w:pPr/>
      <w:r>
        <w:rPr>
          <w:rStyle w:val="rStyle"/>
        </w:rPr>
        <w:t xml:space="preserve">Metodología y datos</w:t>
      </w:r>
    </w:p>
    <w:p>
      <w:pPr/>
      <w:r>
        <w:rPr/>
        <w:t xml:space="preserve">Se utilizó el modelo WEAP para simular la seguridad hídrica bajo escenarios de cambio climático (RCP 4.5 y RCP 8.5) y factores socioeconómicos. El modelo fue calibrado (1987–2006) y validado (2007–2016) con datos de la estación hidrométrica de Pisac. Los insumos incluyeron datos de PISCO, NEX-GDDP, mapas del MINAM e información censal del INEI. Se simularon cuatro escenarios futuros hasta 2099, evaluando demandas poblacionales, agrícolas, industriales y energéticas.</w:t>
      </w:r>
    </w:p>
    <w:p/>
    <w:p>
      <w:pPr/>
      <w:r>
        <w:rPr>
          <w:rStyle w:val="rStyle"/>
        </w:rPr>
        <w:t xml:space="preserve">Limitaciones de la investigación</w:t>
      </w:r>
    </w:p>
    <w:p>
      <w:pPr/>
      <w:r>
        <w:rPr/>
        <w:t xml:space="preserve">El estudio no consideró cambios en el uso de suelo ni cobertura vegetal debido a la falta de datos socioeconómicos detallados. Además, no se modelaron capas de nieve ni acuíferos por escasez de información, lo que podría subestimar o sobrestimar la disponibilidad futura de agua. También se asumió que la infraestructura actual se mantendrá sin cambios hasta 2099.</w:t>
      </w:r>
    </w:p>
    <w:p/>
    <w:p>
      <w:pPr/>
      <w:r>
        <w:rPr>
          <w:rStyle w:val="rStyle"/>
        </w:rPr>
        <w:t xml:space="preserve">Recomendaciones</w:t>
      </w:r>
    </w:p>
    <w:p>
      <w:pPr/>
      <w:r>
        <w:rPr/>
        <w:t xml:space="preserve">Implementar políticas de control migratorio para reducir el crecimiento poblacional.
Invertir en tecnificación del riego para mejorar la eficiencia hídrica.
Fortalecer el monitoreo hidrometeorológico en zonas altoandinas.
Desarrollar estudios que integren dinámicas de cambio de uso de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Vilcanota-Urubamba,  Cusco,  Perú</w:t>
      </w:r>
    </w:p>
    <w:p/>
    <w:p>
      <w:pPr/>
      <w:r>
        <w:rPr>
          <w:rStyle w:val="rStyle"/>
        </w:rPr>
        <w:t xml:space="preserve">Palabras clave:</w:t>
      </w:r>
    </w:p>
    <w:p>
      <w:pPr/>
      <w:r>
        <w:rPr/>
        <w:t xml:space="preserve">WEAP,  seguridad hídrica,  cambio climático,  modelo hidrológico,  Cuenca Andina,  Cusco,  demanda hídrica,  planificación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2026-07-23T04:18:32-05:00</dcterms:created>
  <dcterms:modified xsi:type="dcterms:W3CDTF">2026-07-23T04:18:32-05:00</dcterms:modified>
</cp:coreProperties>
</file>

<file path=docProps/custom.xml><?xml version="1.0" encoding="utf-8"?>
<Properties xmlns="http://schemas.openxmlformats.org/officeDocument/2006/custom-properties" xmlns:vt="http://schemas.openxmlformats.org/officeDocument/2006/docPropsVTypes"/>
</file>