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Evolution of the 2002/03 El Niño*</w:t>
      </w:r>
    </w:p>
    <w:p>
      <w:hyperlink r:id="rId7" w:history="1">
        <w:r>
          <w:rPr>
            <w:color w:val="1d4ed8"/>
            <w:u w:val="single"/>
          </w:rPr>
          <w:t xml:space="preserve">https://doi.org/10.1175/BAMS-85-5-677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evento El Niño 2002/2003 fue el primero del siglo XXI, el cual fue comparable en magnitud con los eventos El Niño 1986/1987 y 1991/1992.
- En diciembre de 2001 se desarrolló un fuerte pulso de viento que forzó una onda de Kelvin que profundizó la termoclina, debilitó la corriente sur ecuatorial y provocó el incremento de la TSM al oeste de la línea de cambio de fecha (180°) entre febrero y marzo de 2002. 
- En la costa norte del Perú se presentaron lluvias intensas en marzo de 2002.
- En mayo y junio de 2002, los vientos alisios se relajaron hasta los 140°W y la TSM aumentó en 1°C. 
- En julio de 2002, la NOAA declara oficialmente un evento El Niño de magnitud moderado. Los valores más altos se registraron en 170°W para TSM (2.5°C), vientos zonales, profundización de la termoclina; el pico de precipitación se alcanzó recién en enero de 2003. 
- En la costa norte del Perú se observaron condiciones secas durante el verano del 2003. 
- En mayo de 2003, la TSM bajó a 0.5°C de calentamiento y se confinó al oeste de la línea de cambio de fecha. 
- Oficialmente en septiembre de 2003, se declararon condiciones neutrales
- Todo el año 2002 acumuló la mayor cantidad de eventos de vientos del oeste con anomalías superiores a 2m/s desde 1997. El patrón espacial de calentamiento fue similar al del año 1994/1995
- Los eventos MJO (Diciembre 2001, Mayo 2002, Junio-Julio 2002, Mayo 2003) tuvieron un rol importante mas no exclusivo en el desarrollo de los “pulsos de viento” del oeste.Ya que si bien ayudaron a iniciar el evento, fueron las interacciones de gran escala las que impulsaron el sistema a un mayor calentamiento.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En el artículo se emplean datos océano-atmosféricos de mediciones in-situ, satélites y productos derivados del Sistema de Observación ENSO: Boyas fijas y a la deriva, estaciones mareográficas, datos satelitales retransmitidos y buques de observación voluntaria.
- Se comparan los datos obtenidos durante el evento ENSO 2002/2003 con los conceptos teóricos (procesos físicos) característicos de los eventos ENSO, a través de fases: inicio-desarrollo, pico y decadencia.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periodos de las climatologías no eran homogéneas en todas las variables.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tropical,  Costa Norte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 2002/2003, sistema de observación ENSO, Vientos del Oeste, MJO, pulsos de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85-5-6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2026-07-23T00:09:01-05:00</dcterms:created>
  <dcterms:modified xsi:type="dcterms:W3CDTF">2026-07-23T00:09:01-05:00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