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Assessing multidecadal runoff (1970-2010) using regional hydrological modelling under data and water scarcity conditions in Peruvian Pacific catchments</w:t>
      </w:r>
    </w:p>
    <w:p>
      <w:hyperlink r:id="rId7" w:history="1">
        <w:r>
          <w:rPr>
            <w:color w:val="1d4ed8"/>
            <w:u w:val="single"/>
          </w:rPr>
          <w:t xml:space="preserve">https://doi.org/10.1002/hyp.13318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Rau Lavado Pedro Christopher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la Vertiente del Pacifico desde las cuencas de Piura hasta Caplina, se tiene una descarga de agua superficial hacia el océano que alcanza los 709 m3/s y con una tendencia de incremento de 43 m3/s/decada. Las caracteristicas del area de estudio permiten estimar anomalias de caudales en cuencas sin medicion a traves de un metodo simple.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Modelacion hidrologica conceptual basados en el GR1A y GR2M. Empleo de registros de caudales SENAMHI del periodo 1970-2010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Aplicable solo a las cuencas desde el Piura hasta Caplina. A paso de tiempo anual y mensual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vertiente del Pacifico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vertiente del Pacifico, caudales, modelacion, escasez de registros, escorrentia regional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hyp.1331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2026-09-22T09:13:28-05:00</dcterms:created>
  <dcterms:modified xsi:type="dcterms:W3CDTF">2026-09-22T09:13:28-05:00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