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Information transfer as a tool to improve the resilience of farmers against the effects of climate change: The case of the Peruvian National Agrarian Innovation System</w:t>
      </w:r>
    </w:p>
    <w:p>
      <w:hyperlink r:id="rId7" w:history="1">
        <w:r>
          <w:rPr>
            <w:color w:val="1d4ed8"/>
            <w:u w:val="single"/>
          </w:rPr>
          <w:t xml:space="preserve">https://doi.org/10.1016/j.agsy.2022.103431</w:t>
        </w:r>
      </w:hyperlink>
    </w:p>
    <w:p/>
    <w:p/>
    <w:p>
      <w:pPr/>
      <w:r>
        <w:rPr>
          <w:rStyle w:val="rStyle"/>
        </w:rPr>
        <w:t xml:space="preserve">Intérprete</w:t>
      </w:r>
    </w:p>
    <w:p>
      <w:pPr/>
      <w:r>
        <w:rPr/>
        <w:t xml:space="preserve">Pradel Willy</w:t>
      </w:r>
    </w:p>
    <w:p/>
    <w:p>
      <w:pPr/>
      <w:r>
        <w:rPr>
          <w:rStyle w:val="rStyle"/>
        </w:rPr>
        <w:t xml:space="preserve">Revisor(a)</w:t>
      </w:r>
    </w:p>
    <w:p>
      <w:pPr/>
      <w:r>
        <w:rPr/>
        <w:t xml:space="preserve">Pradel Willy</w:t>
      </w:r>
    </w:p>
    <w:p/>
    <w:p>
      <w:pPr/>
      <w:r>
        <w:rPr>
          <w:rStyle w:val="rStyle"/>
        </w:rPr>
        <w:t xml:space="preserve">Resultados y conclusiones</w:t>
      </w:r>
    </w:p>
    <w:p>
      <w:pPr/>
      <w:r>
        <w:rPr/>
        <w:t xml:space="preserve">Menos del 13% de los pequeños agricultores y menos del 18% de los grandes productores del Perú accedieron entre 2016 y 2019 a información sobre prevención de daños por eventos climáticos extremos (heladas, sequías, inundaciones, friajes). Esta información llega mayoritariamente a través de radio y televisión, y proviene sobre todo de una sola institución gubernamental, el SENAMHI, cuyo protagonismo creció con los años (de aproximadamente 30% a 57% de los grandes productores entre 2016 y 2018). Las regiones altoandinas de riesgo climático medio a extremo (Puno, Cusco, Tacna, Moquegua) muestran mayor búsqueda de información y una tendencia creciente en el tiempo, mientras que regiones de riesgo extremo en el norte, como Piura y Cajamarca, presentan tasas de acceso notablemente bajas. Solo el 5% de los hogares rurales usa internet, frente al 36% en zonas urbanas, lo que limita el uso de medios más interactivos y personalizados.</w:t>
      </w:r>
    </w:p>
    <w:p/>
    <w:p>
      <w:pPr/>
      <w:r>
        <w:rPr>
          <w:rStyle w:val="rStyle"/>
        </w:rPr>
        <w:t xml:space="preserve">Metodología y datos</w:t>
      </w:r>
    </w:p>
    <w:p>
      <w:pPr/>
      <w:r>
        <w:rPr/>
        <w:t xml:space="preserve">Se utilizaron los datos de la Encuesta Nacional Agropecuaria (ENA) del Perú (INEI) correspondientes al periodo 2016-2019, con una muestra representativa anual de alrededor de 27,000-29,000 pequeños agricultores y 1,300-1,400 grandes productores en los 24 departamentos y la provincia constitucional del Callao. Las relaciones entre agricultores e instituciones del Sistema Nacional de Innovación Agraria (SNIA/NAIS) se modelaron mediante Latent Block Modelling, un algoritmo probabilístico de agrupamiento bipartito que permite identificar simultáneamente grupos de agricultores y de instituciones con patrones de conexión similares.</w:t>
      </w:r>
    </w:p>
    <w:p/>
    <w:p>
      <w:pPr/>
      <w:r>
        <w:rPr>
          <w:rStyle w:val="rStyle"/>
        </w:rPr>
        <w:t xml:space="preserve">Limitaciones de la investigación</w:t>
      </w:r>
    </w:p>
    <w:p>
      <w:pPr/>
      <w:r>
        <w:rPr/>
        <w:t xml:space="preserve">El estudio no dispone de datos sobre la frecuencia con la que las instituciones interactúan con los agricultores, lo que impide cuantificar la intensidad real del vínculo más allá de su sola existencia. Tampoco se mide si la información efectivamente recibida se tradujo en acciones concretas de adaptación o mitigación, ni se evalúa el nivel de confianza de los agricultores hacia las instituciones, factor que la literatura señala como determinante del uso de información formal.</w:t>
      </w:r>
    </w:p>
    <w:p/>
    <w:p>
      <w:pPr/>
      <w:r>
        <w:rPr>
          <w:rStyle w:val="rStyle"/>
        </w:rPr>
        <w:t xml:space="preserve">Recomendaciones</w:t>
      </w:r>
    </w:p>
    <w:p>
      <w:pPr/>
      <w:r>
        <w:rPr/>
        <w:t xml:space="preserve">(1) Fortalecer los recursos y la presencia territorial de instituciones distintas al SENAMHI (INIA, agencias agrarias, SENASA, MINAGRI) para diversificar las fuentes formales de información climática y reducir la dependencia de un solo canal.
(2) Promover el acceso a internet y herramientas digitales interactivas en zonas rurales, como complemento a la radio y televisión, para ofrecer información más específica y adaptada a cada sistema productivo.
(3) Incorporar en la ENA preguntas sobre la efectividad de la información recibida y sobre el intercambio informal entre agricultores, para completar el análisis de redes.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Los 24 departamentos del Peru</w:t>
      </w:r>
    </w:p>
    <w:p/>
    <w:p>
      <w:pPr/>
      <w:r>
        <w:rPr>
          <w:rStyle w:val="rStyle"/>
        </w:rPr>
        <w:t xml:space="preserve">Palabras clave:</w:t>
      </w:r>
    </w:p>
    <w:p>
      <w:pPr/>
      <w:r>
        <w:rPr/>
        <w:t xml:space="preserve">resiliencia agricola,  transferencia de informacion,  eventos climaticos extremos,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2.1034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2026-07-22T21:46:33-05:00</dcterms:created>
  <dcterms:modified xsi:type="dcterms:W3CDTF">2026-07-22T21:46:33-05:00</dcterms:modified>
</cp:coreProperties>
</file>

<file path=docProps/custom.xml><?xml version="1.0" encoding="utf-8"?>
<Properties xmlns="http://schemas.openxmlformats.org/officeDocument/2006/custom-properties" xmlns:vt="http://schemas.openxmlformats.org/officeDocument/2006/docPropsVTypes"/>
</file>