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reserves in coffee agroforestry in the Peruvian Amazon</w:t>
      </w:r>
    </w:p>
    <w:p>
      <w:hyperlink r:id="rId7" w:history="1">
        <w:r>
          <w:rPr>
            <w:color w:val="1d4ed8"/>
            <w:u w:val="single"/>
          </w:rPr>
          <w:t xml:space="preserve">https://doi.org/10.3389/fpls.2024.1410418</w:t>
        </w:r>
      </w:hyperlink>
    </w:p>
    <w:p/>
    <w:p/>
    <w:p>
      <w:pPr/>
      <w:r>
        <w:rPr>
          <w:rStyle w:val="rStyle"/>
        </w:rPr>
        <w:t xml:space="preserve">Intérprete</w:t>
      </w:r>
    </w:p>
    <w:p>
      <w:pPr/>
      <w:r>
        <w:rPr/>
        <w:t xml:space="preserve">Rodriguez Melendez Lucia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las reservas de carbono en cuatro tipos de cobertura vegetal en el distrito de Tabalosos (Lamas, San Martín), comparando cafés con y sin árboles de sombra, sistemas policultivo y bosque secundario, entre 2022–2023. El bosque secundario registró la mayor reserva de carbono con 133.08 t C/ha, seguido del café con Inga sp. (117.13 t C/ha), café policultivo (75.83 t C/ha) y café sin sombra (32.1 t C/ha). Los resultados se desglosaron en tres puntos. Carbono aéreo (AGC): varió de 1.58 t C/ha en café sin sombra a 76.13 t C/ha en bosque secundario. Carbono en suelo (SOC): fue máximo en café con Inga sp. (45.7 t C/ha) y mínimo en café sin sombra (29.05 t C/ha). Aporte del café: los arbustos almacenaron en promedio 2.65 t C/ha, equivalente al 4.63% del carbono total; siendo mayor en café con Inga sp. (2.98 t C/ha). El estudio concluye que los sistemas agroforestales, especialmente con Inga sp., aumentan significativamente la captura de carbono respecto al monocultivo, evidenciando su potencial como estrategia de mitigación climática en la Amazonía peruana.</w:t>
      </w:r>
    </w:p>
    <w:p/>
    <w:p>
      <w:pPr/>
      <w:r>
        <w:rPr>
          <w:rStyle w:val="rStyle"/>
        </w:rPr>
        <w:t xml:space="preserve">Metodología y datos</w:t>
      </w:r>
    </w:p>
    <w:p>
      <w:pPr/>
      <w:r>
        <w:rPr/>
        <w:t xml:space="preserve">El estudio se desarrolló en Tabalosos (310–814 m s.n.m.), en cuatro tipos de cobertura: café sin sombra, café con Inga sp., café policultivo y bosque secundario. Se establecieron parcelas de 30×30 m con subparcelas de 100 m² para evaluar biomasa aérea, subterránea, herbácea y hojarasca. Se midieron DBH, altura, densidad y composición florística. El carbono aéreo se estimó con modelos alométricos de Nascimento &amp; Laurance (2002), y el carbono subterráneo con ecuaciones de Cairns et al. (1997). El SOC se obtuvo mediante el método Walkley–Black y densidad aparente de Blake &amp; Hartge (1986). También se cuantificaron esporas de hongos micorrícicos y el contenido de glomalina (GRSP). Los datos fueron analizados mediante pruebas no paramétricas (Mann–Whitney) y PCA para explorar relaciones entre carbono, GRSP y esporas de AMF.</w:t>
      </w:r>
    </w:p>
    <w:p/>
    <w:p>
      <w:pPr/>
      <w:r>
        <w:rPr>
          <w:rStyle w:val="rStyle"/>
        </w:rPr>
        <w:t xml:space="preserve">Limitaciones de la investigación</w:t>
      </w:r>
    </w:p>
    <w:p>
      <w:pPr/>
      <w:r>
        <w:rPr/>
        <w:t xml:space="preserve">Lo principal a resaltar es que solo se utilizó una parcela por sistema, lo que limita la representatividad espacial y podría subestimar o sobreestimar la variabilidad real. Asimismo, Los valores de carbono corresponden a una única medición temporal, sin series anuales que permitan evaluar variaciones estacionales o interanuales. Por último, las diferencias en edad de plantaciones (9–13 años) y densidad de especies pueden afectar la comparación entre sistemas, así como el histórico de disturbios en bosques secundarios.</w:t>
      </w:r>
    </w:p>
    <w:p/>
    <w:p>
      <w:pPr/>
      <w:r>
        <w:rPr>
          <w:rStyle w:val="rStyle"/>
        </w:rPr>
        <w:t xml:space="preserve">Recomendaciones</w:t>
      </w:r>
    </w:p>
    <w:p>
      <w:pPr/>
      <w:r>
        <w:rPr/>
        <w:t xml:space="preserve">Se recomienda incorporar monitoreo plurianual que incluya emisiones netas de CO₂, no solo stocks, para determinar si los sistemas agroforestales funcionan realmente como sumideros de carbono y no solo como reservas estáticas.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Tabalosos, Lamas, San Martín, Anexos del distrito Tabalosos</w:t>
      </w:r>
    </w:p>
    <w:p/>
    <w:p>
      <w:pPr/>
      <w:r>
        <w:rPr>
          <w:rStyle w:val="rStyle"/>
        </w:rPr>
        <w:t xml:space="preserve">Palabras clave:</w:t>
      </w:r>
    </w:p>
    <w:p>
      <w:pPr/>
      <w:r>
        <w:rPr/>
        <w:t xml:space="preserve">Agroforestería, Amazonía, carbono, café, suelos, glomalina, Inga sp.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pls.2024.14104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2026-04-02T17:29:17-05:00</dcterms:created>
  <dcterms:modified xsi:type="dcterms:W3CDTF">2026-04-02T17:29:17-05:00</dcterms:modified>
</cp:coreProperties>
</file>

<file path=docProps/custom.xml><?xml version="1.0" encoding="utf-8"?>
<Properties xmlns="http://schemas.openxmlformats.org/officeDocument/2006/custom-properties" xmlns:vt="http://schemas.openxmlformats.org/officeDocument/2006/docPropsVTypes"/>
</file>