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Does hillslope trenching enhance groundwater recharge and baseflow in the Peruvian Andes?</w:t>
      </w:r>
    </w:p>
    <w:p>
      <w:hyperlink r:id="rId7" w:history="1">
        <w:r>
          <w:rPr>
            <w:color w:val="1d4ed8"/>
            <w:u w:val="single"/>
          </w:rPr>
          <w:t xml:space="preserve">https://doi.org/10.1002/hyp.11423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Rau Lavado Pedro Christopher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articulo analiza el rol de la recarga de agua subterranea a través de proyectos de zanjas de infiltracion como medida de adaptacion frente al derretimiento glaciar y la vulnerabilidad de los recursos hidricos en la cuenca del Rio Shullcas (Mantaro, Junin). Desde un contexto hidrogeologico particular de la zona de estudio, estas zanjas podrian recargar en promedio 3.5% más que una zona sin zanjas. La mayor recarga se da al final de la epoca humeda de marzo con 1.3 litros/segundo; y en la epoca seca alcanza 0.1 litros/segundo. Un mayor incremento en el flujo base para la epoca seca se obtiene con las zanjas ubicadas en terrenos en la parte alta y en areas más planas.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Modelacion hidrogeologica, mediciones en campo y registros en campo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aplicable a la cuenca del rio Shullcas, la heterogeneidad de la variable infiltracion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/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Agua,  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Distrital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Junin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zanjas de infiltracion, Shullcas, Mantaro, hidrogeologia, recarga de acuiferos, laderas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02/hyp.11423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2026-11-08T01:56:53-05:00</dcterms:created>
  <dcterms:modified xsi:type="dcterms:W3CDTF">2026-11-08T01:56:53-05:00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