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will accelerate the high-end risk of compound drought and heatwave events</w:t>
      </w:r>
    </w:p>
    <w:p>
      <w:hyperlink r:id="rId7" w:history="1">
        <w:r>
          <w:rPr>
            <w:color w:val="1d4ed8"/>
            <w:u w:val="single"/>
          </w:rPr>
          <w:t xml:space="preserve">https://doi.org/10.1073/pnas.2219825120</w:t>
        </w:r>
      </w:hyperlink>
    </w:p>
    <w:p/>
    <w:p/>
    <w:p>
      <w:pPr/>
      <w:r>
        <w:rPr>
          <w:rStyle w:val="rStyle"/>
        </w:rPr>
        <w:t xml:space="preserve">Intérprete</w:t>
      </w:r>
    </w:p>
    <w:p>
      <w:pPr/>
      <w:r>
        <w:rPr/>
        <w:t xml:space="preserve">Jaramillo Mori Mayerly Esther</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muestran tendencias significativas en todas las combinaciones de escenarios-períodos, que indica una mayor actividad de los eventos de Sequía y Ola de Calor Compuestos (CDHW, por sus siglas en inglés) en el futuro. Los modelos proyectan un aumento promedio global en la frecuencia, duración y gravedad de los eventos de CDHW a lo largo del siglo XXI. Donde es probable que el número de eventos de CDHW aumente en 1.5 por año, con una duración promedio de 10 días y que la gravedad de cada evento incremente en 50 unidades para un futuro cercano, mientras que para un futuro lejano se estima que aumente en 2.5 por año, 25 días, 130 unidades respectivamente. Los cual significa el aumento en 3 veces en la frecuencia 5 veces en la duración y un aumento de 4 veces en la gravedad para finales del siglo XXI en relación con el año 2019. Los resultados antes mencionados se reflejarían en las siguientes regiones climáticas: África Oriental, Asia Central, Australia del Norte, Europa Central, el Sureste de América del Sur y el Este de América del Norte teniendo el mayor aumento futuro (puntos calientes) en la frecuencia de CDHW y esto se debería a la contribución del calentamiento antropogénico en un futuro lejano.</w:t>
      </w:r>
    </w:p>
    <w:p/>
    <w:p>
      <w:pPr/>
      <w:r>
        <w:rPr>
          <w:rStyle w:val="rStyle"/>
        </w:rPr>
        <w:t xml:space="preserve">Metodología y datos</w:t>
      </w:r>
    </w:p>
    <w:p>
      <w:pPr/>
      <w:r>
        <w:rPr/>
        <w:t xml:space="preserve">Datos:
Los datos de la precipitación diaria observada se obtuvieron del Centro Mundial de Climatología de la Precipitación (GPCC) desde 1982 a 2019.
Los datos de temperatura de aire (máxima y mínima) diarios de 2 m se obtuvieron del Centro de Predicción del Clima (CPC) con una resolución espacial de 0,25°.
Métodos:
Análisis de Períodos Futuros:
-	La metodología que se ha usado son 8 Modelos de Circulación General (MCG) para períodos futuros: se utilizaron ocho MCG de salida bajo tres escenarios de concentración representativa (SSP-RCP: SSP1-2.6, SSP2-4.5 y SSP5-8.5) del Proyecto de Inter comparación de Modelos Acoplados (CMIP6).
-	Corrección de Sesgo: se usó la aplicación de una técnica de corrección de sesgo no estacionaria para ajustar los resultados del MCG.
Análisis de Correlación:
Para identificar los Mejores MCG: se realizó un análisis de correlación entre los datos observados (precipitación y temperatura) y los resultados del GCM corregido por sesgo para seleccionar los modelos más adecuados.
Interpolación y Cuadriculación:
-	Interpolación Bilineal: se re cuadriculó todos los conjuntos de datos (observados y de MCG) mediante la aplicación de interpolación bilineal con una resolución espacial uniforme.
Datos Adicionales y Parámetros:
Contenido de Agua Disponible (AWC): Datos que se han extraído de un mapa global de capacidad de retención de agua basado en la textura del suelo, re cuadriculados con una resolución espacial de 2°.</w:t>
      </w:r>
    </w:p>
    <w:p/>
    <w:p>
      <w:pPr/>
      <w:r>
        <w:rPr>
          <w:rStyle w:val="rStyle"/>
        </w:rPr>
        <w:t xml:space="preserve">Limitaciones de la investigación</w:t>
      </w:r>
    </w:p>
    <w:p>
      <w:pPr/>
      <w:r>
        <w:rPr/>
        <w:t xml:space="preserve">Resolución de los datos, el número de eventos analizados, la necesidad de un análisis más profundo en sectores múltiples y la cuantificación de incertidumbres con conjuntos de datos adicionales.</w:t>
      </w:r>
    </w:p>
    <w:p/>
    <w:p>
      <w:pPr/>
      <w:r>
        <w:rPr>
          <w:rStyle w:val="rStyle"/>
        </w:rPr>
        <w:t xml:space="preserve">Recomendaciones</w:t>
      </w:r>
    </w:p>
    <w:p>
      <w:pPr/>
      <w:r>
        <w:rPr/>
        <w:t xml:space="preserve">Las investigaciones futuras se deben centrar en evaluar cómo el uso de la tierra y la cubierta terrestre afectan el transporte de humedad y la advección de calor, así como investigar los mecanismos de retroalimentación entre la tierra y la atmósfera para interpretar su impacto en el cambio climático, también se debe buscar comprender los patrones de tele conexión a gran escala y su relación con los riesgos climáticos.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África Oriental,  Australia del Norte,  América del Norte Este,  Asia Central,  Europa Central y el Sureste de América del Sur</w:t>
      </w:r>
    </w:p>
    <w:p/>
    <w:p>
      <w:pPr/>
      <w:r>
        <w:rPr>
          <w:rStyle w:val="rStyle"/>
        </w:rPr>
        <w:t xml:space="preserve">Palabras clave:</w:t>
      </w:r>
    </w:p>
    <w:p>
      <w:pPr/>
      <w:r>
        <w:rPr/>
        <w:t xml:space="preserve">Sequía y Ola de Calor Compuestos (CDHW),  calentamiento antropogénico, Modelos de Circulación General, Inter comparación de Modelos Acoplados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3/pnas.22198251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2026-07-23T00:06:24-05:00</dcterms:created>
  <dcterms:modified xsi:type="dcterms:W3CDTF">2026-07-23T00:06:24-05:00</dcterms:modified>
</cp:coreProperties>
</file>

<file path=docProps/custom.xml><?xml version="1.0" encoding="utf-8"?>
<Properties xmlns="http://schemas.openxmlformats.org/officeDocument/2006/custom-properties" xmlns:vt="http://schemas.openxmlformats.org/officeDocument/2006/docPropsVTypes"/>
</file>