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d4ed8"/>
          <w:sz w:val="36"/>
          <w:szCs w:val="36"/>
          <w:b w:val="1"/>
          <w:bCs w:val="1"/>
        </w:rPr>
        <w:t xml:space="preserve">New Insights on Land Use, Land Cover, and Climate Change in Human–Environment Dynamics of the Equatorial Andes</w:t>
      </w:r>
    </w:p>
    <w:p>
      <w:hyperlink r:id="rId7" w:history="1">
        <w:r>
          <w:rPr>
            <w:color w:val="1d4ed8"/>
            <w:u w:val="single"/>
          </w:rPr>
          <w:t xml:space="preserve">https://doi.org/10.1080/24694452.2020.1804822</w:t>
        </w:r>
      </w:hyperlink>
    </w:p>
    <w:p/>
    <w:p/>
    <w:p>
      <w:pPr/>
      <w:r>
        <w:rPr>
          <w:rStyle w:val="rStyle"/>
        </w:rPr>
        <w:t xml:space="preserve">Intérprete</w:t>
      </w:r>
    </w:p>
    <w:p>
      <w:pPr/>
      <w:r>
        <w:rPr/>
        <w:t xml:space="preserve">TINEO TINEO CARLOS CRISTIAN</w:t>
      </w:r>
    </w:p>
    <w:p/>
    <w:p>
      <w:pPr/>
      <w:r>
        <w:rPr>
          <w:rStyle w:val="rStyle"/>
        </w:rPr>
        <w:t xml:space="preserve">Revisor(a)</w:t>
      </w:r>
    </w:p>
    <w:p>
      <w:pPr/>
      <w:r>
        <w:rPr/>
        <w:t xml:space="preserve">Calderon Martha S.</w:t>
      </w:r>
    </w:p>
    <w:p/>
    <w:p>
      <w:pPr/>
      <w:r>
        <w:rPr>
          <w:rStyle w:val="rStyle"/>
        </w:rPr>
        <w:t xml:space="preserve">Resultados y conclusiones</w:t>
      </w:r>
    </w:p>
    <w:p>
      <w:pPr/>
      <w:r>
        <w:rPr/>
        <w:t xml:space="preserve">El estudio revelo un notable incremento en las plantaciones forestales, la agricultura bajo riego y la infraestructura de invernaderos en Cotopaxi provincia de Ecuador, factores intrínsecamente ligados a las condiciones topográficas, la disponibilidad hídrica y las oportunidades económicas. Por otro lado, en Napo se evidenció una reducción en la vegetación de los bosques montanos y una expansión de la vegetación arbustiva. En cuanto a los cambios climáticos, se registró un incremento en la temperatura media anual, una intensificación en la variabilidad estacional, una disminución en la precipitación anual y un aumento en el número de días sin heladas. Estas transformaciones repercuten en la sostenibilidad de los pequeños agricultores, afectando su capacidad para mantener sus medios de vida.</w:t>
      </w:r>
    </w:p>
    <w:p/>
    <w:p>
      <w:pPr/>
      <w:r>
        <w:rPr>
          <w:rStyle w:val="rStyle"/>
        </w:rPr>
        <w:t xml:space="preserve">Metodología y datos</w:t>
      </w:r>
    </w:p>
    <w:p>
      <w:pPr/>
      <w:r>
        <w:rPr/>
        <w:t xml:space="preserve">La investigación combinó sofisticadas clasificaciones de datos satelitales, rigurosos análisis estadísticos, modelado climático detallado a lo largo del tiempo y entrevistas con pequeños agricultores. Se examinaron los cambios ambientales ocurridos entre 1991 y 2017, con un enfoque particular en dos provincias de Ecuador, Cotopaxi y Napo, así como en tres comunidades específicas. Se adoptaron métodos mixtos para capturar las complejas interacciones entre el uso del suelo, el clima y las dinámicas socioambientales.</w:t>
      </w:r>
    </w:p>
    <w:p/>
    <w:p>
      <w:pPr/>
      <w:r>
        <w:rPr>
          <w:rStyle w:val="rStyle"/>
        </w:rPr>
        <w:t xml:space="preserve">Limitaciones de la investigación</w:t>
      </w:r>
    </w:p>
    <w:p>
      <w:pPr/>
      <w:r>
        <w:rPr/>
        <w:t xml:space="preserve">Las limitaciones del estudio comprenden la cantidad limitada de campañas de recolección de datos in situ lo que dificulta un análisis multitemporal completo de las interacciones humanas y ambientales. Además, el tamaño reducido de la muestra afecta la representatividad y la generalización de los resultados. Así mismo, las resoluciones espaciales y temporales desiguales de los datos complican la integración y comparación de diferentes tipos de información a lo largo del tiempo.</w:t>
      </w:r>
    </w:p>
    <w:p/>
    <w:p>
      <w:pPr/>
      <w:r>
        <w:rPr>
          <w:rStyle w:val="rStyle"/>
        </w:rPr>
        <w:t xml:space="preserve">Recomendaciones</w:t>
      </w:r>
    </w:p>
    <w:p>
      <w:pPr/>
      <w:r>
        <w:rPr/>
        <w:t xml:space="preserve">Los autores sugieren la implementación de estrategias de gestión adaptativa de la tierra que integren la sostenibilidad ambiental con las necesidades socioeconómicas. Resaltan la relevancia de involucrar a las comunidades locales en los procesos de toma de decisiones y de fortalecer su capacidad para adaptarse a las cambiantes condiciones ambientales. Entre las recomendaciones políticas, se incluye el robustecimiento de los marcos institucionales para la planificación del uso del suelo y la adaptación al cambio climático.</w:t>
      </w:r>
    </w:p>
    <w:p/>
    <w:p>
      <w:pPr/>
      <w:r>
        <w:rPr>
          <w:rStyle w:val="rStyle"/>
        </w:rPr>
        <w:t xml:space="preserve">Adaptación:</w:t>
      </w:r>
    </w:p>
    <w:p>
      <w:pPr/>
      <w:r>
        <w:rPr/>
        <w:t xml:space="preserve">Agricultura,  Bosques</w:t>
      </w:r>
    </w:p>
    <w:p/>
    <w:p>
      <w:pPr/>
      <w:r>
        <w:rPr>
          <w:rStyle w:val="rStyle"/>
        </w:rPr>
        <w:t xml:space="preserve">Mitigación:</w:t>
      </w:r>
    </w:p>
    <w:p>
      <w:pPr/>
      <w:r>
        <w:rPr/>
        <w:t xml:space="preserve">Agricultura,  Uso de suelo,  cambio de uso de suelo y silvicultura</w:t>
      </w:r>
    </w:p>
    <w:p/>
    <w:p>
      <w:pPr/>
      <w:r>
        <w:rPr>
          <w:rStyle w:val="rStyle"/>
        </w:rPr>
        <w:t xml:space="preserve">Escala:</w:t>
      </w:r>
    </w:p>
    <w:p>
      <w:pPr/>
      <w:r>
        <w:rPr/>
        <w:t xml:space="preserve">Regional </w:t>
      </w:r>
    </w:p>
    <w:p/>
    <w:p>
      <w:pPr/>
      <w:r>
        <w:rPr>
          <w:rStyle w:val="rStyle"/>
        </w:rPr>
        <w:t xml:space="preserve">Ámbito geográfico:</w:t>
      </w:r>
    </w:p>
    <w:p>
      <w:pPr/>
      <w:r>
        <w:rPr/>
        <w:t xml:space="preserve">Andes ecuatorianos</w:t>
      </w:r>
    </w:p>
    <w:p/>
    <w:p>
      <w:pPr/>
      <w:r>
        <w:rPr>
          <w:rStyle w:val="rStyle"/>
        </w:rPr>
        <w:t xml:space="preserve">Palabras clave:</w:t>
      </w:r>
    </w:p>
    <w:p>
      <w:pPr/>
      <w:r>
        <w:rPr/>
        <w:t xml:space="preserve">Andes ecuatoriales, Adaptación humana, Agricultura sostenible, Cambio de cobertura del suelo , Cambio climático, Uso de la tierra</w:t>
      </w:r>
    </w:p>
    <w:p/>
    <w:sectPr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/>
  <w:p>
    <w:pPr/>
    <w:r>
      <w:rPr>
        <w:rStyle w:val="gStyle"/>
      </w:rPr>
      <w:t xml:space="preserve">-----</w:t>
    </w:r>
  </w:p>
  <w:p>
    <w:pPr/>
    <w:r>
      <w:rPr>
        <w:rStyle w:val="gStyle"/>
      </w:rPr>
      <w:t xml:space="preserve">Este documento no tiene valor oficial.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rStyle"/>
    <w:rPr>
      <w:rFonts w:ascii="Arial" w:hAnsi="Arial" w:eastAsia="Arial" w:cs="Arial"/>
      <w:color w:val="1d4ed8"/>
      <w:sz w:val="24"/>
      <w:szCs w:val="24"/>
      <w:b w:val="1"/>
      <w:bCs w:val="1"/>
    </w:rPr>
  </w:style>
  <w:style w:type="character">
    <w:name w:val="gStyle"/>
    <w:rPr>
      <w:rFonts w:ascii="Arial" w:hAnsi="Arial" w:eastAsia="Arial" w:cs="Arial"/>
      <w:color w:val="777777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doi.org/10.1080/24694452.2020.1804822" TargetMode="External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2026-11-08T02:10:36-05:00</dcterms:created>
  <dcterms:modified xsi:type="dcterms:W3CDTF">2026-11-08T02:10:36-05:00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