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Untangling the importance of dynamic and thermodynamic drivers for wet and dry spells across the Tropical Andes</w:t>
      </w:r>
    </w:p>
    <w:p>
      <w:hyperlink r:id="rId7" w:history="1">
        <w:r>
          <w:rPr>
            <w:color w:val="1d4ed8"/>
            <w:u w:val="single"/>
          </w:rPr>
          <w:t xml:space="preserve">https://doi.org/10.1088/1748-9326/acb72b</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 este artículo, se evalúa la importancia relativa de la circulación atmosférica en la alta tropósfera y el transporte de humedad en la baja tropósfera en la modulación de la variabilidad de la precipitación de alta frecuencia (de hasta 7 días) sobre los Andes tropicales. Ambos procesos son cruciales para la determinación de condiciones secas sobre los Andes tropicales, de forma diferencial a lo largo del tiempo y región. El aumento (disminución) de la humedad proveniente de la Amazonía es más determinante para explicar condiciones lluviosas (secas) de hasta 3 días de duración. Para episodios de 5 y 7 días de duración, el viento proveniente del este (oeste) es relativamente más importante para la explicación de episodios húmedos (secos), especialmente sobre los Andes tropicales del sur. 
Además, se cuantificó el impacto de dichos eventos secos y húmedos en la humedad del suelo y fisiología vegetal. Los impactos de los eventos secos tienden a tener más impacto en la salud de la vegetación que los eventos húmedos. Para los eventos secos de 5-7 días, los efectos fisiológicos son más duraderos en el tiempo y suponen disminuciones de hasta 50% de la diferencia media entre el máximo y mínimo anual de la producción fisiológica para las regiones semi-áridas de los Andes centrales y sur.</w:t>
      </w:r>
    </w:p>
    <w:p/>
    <w:p>
      <w:pPr/>
      <w:r>
        <w:rPr>
          <w:rStyle w:val="rStyle"/>
        </w:rPr>
        <w:t xml:space="preserve">Metodología y datos</w:t>
      </w:r>
    </w:p>
    <w:p>
      <w:pPr/>
      <w:r>
        <w:rPr/>
        <w:t xml:space="preserve">Se emplearon datos  de reanálisis atmosférico ERA5 (vientos y humedad atmosférica), datos de convección de GRIDSAT-B1 (temperatura del tope de nubes, CTT), datos de humedad volumétrica del suelo de ESA CCI y datos de profundidad óptica de la vegetación del producto VODCA. La producción fisiológica fue aproximada utilizando índices radiométricos. Se calcularon las "temporadas lluviosas dinámicas" (DRS), que consisten en el periodo de significancia estadística entre la correlación de la series de tiempo diarias (1985-2018) de viento zonal a 200 hPa y el mínimo de CTT diario. Ello se realizó para mostrar el control que ejerce el viento zonal en niveles altos sobre la convección, lo que es una ventaja en comparación a realizar el análisis trimestral típico de diciembre a febrero ya que permite mostrar el periodo completo en el que la precipitación es sensible a la dinámica atmosférica en niveles altos. Asimismo, se emplearon datos de precipitación de CHIRPS para calcular periodos húmedos y secos de 3, 5 y 7 días de duración para los Andes tropicales ecuatoriales, del norte, centrales y del sur. El mecanismo dinámico, así como su importancia relativa, fue explorado a través de cortes transversales y análisis bivariados del agua precipitable y el viento a 200 hPa. Los efectos sobre la humedad del suelo, profundidad óptica de la vegetación y producción fisiológica relativa fueron</w:t>
      </w:r>
    </w:p>
    <w:p/>
    <w:p>
      <w:pPr/>
      <w:r>
        <w:rPr>
          <w:rStyle w:val="rStyle"/>
        </w:rPr>
        <w:t xml:space="preserve">Limitaciones de la investigación</w:t>
      </w:r>
    </w:p>
    <w:p>
      <w:pPr/>
      <w:r>
        <w:rPr/>
        <w:t xml:space="preserve">La variabilidad interanual no fue considerada en el análisis de DRS.</w:t>
      </w:r>
    </w:p>
    <w:p/>
    <w:p>
      <w:pPr/>
      <w:r>
        <w:rPr>
          <w:rStyle w:val="rStyle"/>
        </w:rPr>
        <w:t xml:space="preserve">Recomendaciones</w:t>
      </w:r>
    </w:p>
    <w:p>
      <w:pPr/>
      <w:r>
        <w:rPr/>
        <w:t xml:space="preserve">Para evaluaciones de proyecciones futuras de precipitación, deben considerarse la evaluación de estos mecanismos utilizando modelado climático regional de alta resolución</w:t>
      </w:r>
    </w:p>
    <w:p/>
    <w:p>
      <w:pPr/>
      <w:r>
        <w:rPr>
          <w:rStyle w:val="rStyle"/>
        </w:rPr>
        <w:t xml:space="preserve">Adaptación:</w:t>
      </w:r>
    </w:p>
    <w:p>
      <w:pPr/>
      <w:r>
        <w:rPr/>
        <w:t xml:space="preserve">Agua,  Agricultura,  Bosques,  Turismo,  Transporte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Climatología sinóptica, Mecanismos dinámicos asociados a la precipitación, Vegetación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72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2026-07-22T19:43:23-05:00</dcterms:created>
  <dcterms:modified xsi:type="dcterms:W3CDTF">2026-07-22T19:43:23-05:00</dcterms:modified>
</cp:coreProperties>
</file>

<file path=docProps/custom.xml><?xml version="1.0" encoding="utf-8"?>
<Properties xmlns="http://schemas.openxmlformats.org/officeDocument/2006/custom-properties" xmlns:vt="http://schemas.openxmlformats.org/officeDocument/2006/docPropsVTypes"/>
</file>