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Coupled ocean-atmosphere dynamics of the 2017 extreme coastal El Niño</w:t>
      </w:r>
    </w:p>
    <w:p>
      <w:hyperlink r:id="rId7" w:history="1">
        <w:r>
          <w:rPr>
            <w:color w:val="1d4ed8"/>
            <w:u w:val="single"/>
          </w:rPr>
          <w:t xml:space="preserve">https://doi.org/10.1038/s41467-018-08258-8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Takahashi Guevara Ken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- Con el cambio climático, la frecuencia de eventos El Niño costero extremos (como en 2017) presentaría un aumento entre los siglos XX y XXI según 15 de 22 modelos climáticos considerados.  
- Este aumento de frecuencia estaría asociado al calentamiento promedio en la región costera (relativo a la región tropical) en dichos modelos.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- Se define un evento El Niño costero extremo como un evento en el que la temperatura superficial del mar en la región Niño 1+2 excede el umbral convectivo mientras las anomalías en la región Niño 3.4 son negativas.
- Se analizó la frecuencia de eventos El Niño costero extremo entre el siglo XX y XXI en 22 modelos climáticos CMIP5 (periodo 1900-2100).  
- Se consideró la temperatura superficial del mar "relativa", la cual consiste en la desviación con respecto al promedio tropical (20°S-20°N)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- No se evaluó la representación de los mecanismos físicos de El Niño costero en los modelos CMIP, la cual se anticipa que podría estar afectada por los fuertes sesgos cálidos y lluviosos que son típicos en el Pacífico sudeste.
- El análisis del efecto del cambio climático no incluyó el cambio en las precipitaciones, aunque otros estudios indican que en general estas también se intensificarían.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Agricultura,  Salud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Costa norte y centro del Perú,  Tumbes,  Piura,  Lambayeque,  La Libertad,  Ancash,  Lima,  Ica,  Arequipa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El Niño, El Niño costero, lluvias intensas, inundaciones, huaycos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38/s41467-018-08258-8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2026-09-22T05:36:55-05:00</dcterms:created>
  <dcterms:modified xsi:type="dcterms:W3CDTF">2026-09-22T05:36:55-05:00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