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pathways of the equatorial subsurface currents in the eastern equatorial Pacific and their contributions to the Peru‐Chile Undercurrent</w:t>
      </w:r>
    </w:p>
    <w:p>
      <w:hyperlink r:id="rId7" w:history="1">
        <w:r>
          <w:rPr>
            <w:color w:val="1d4ed8"/>
            <w:u w:val="single"/>
          </w:rPr>
          <w:t xml:space="preserve">https://doi.org/10.1029/2009jc005710</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Alrededor del  30 % del agua que transporta la PCUC (corriente subsuperficial de Perú-chile que fluye hacia el polo y se localiza debajo la corriente de Humboldt) proviene de los 3 corrientes ecuatoriales subsuperficiales (EUC-Corriente ecuatorial subsuperficial, pSSCC- Contracorriente subsuperficial sur primaria o jet primario de Tsuchiya, sSSCC-Contracorriente subsuperficial sur secundario o jet secundario de Tsuchiya).</w:t>
      </w:r>
    </w:p>
    <w:p/>
    <w:p>
      <w:pPr/>
      <w:r>
        <w:rPr>
          <w:rStyle w:val="rStyle"/>
        </w:rPr>
        <w:t xml:space="preserve">Metodología y datos</w:t>
      </w:r>
    </w:p>
    <w:p>
      <w:pPr/>
      <w:r>
        <w:rPr/>
        <w:t xml:space="preserve">Esta investigación realiza dos configuraciones regionales océanicas frente a la costa peruana, en base al modelo numérico ROMS, para investigar la relación dinámica en las corrientes ecuatoriales subsuperficial (las cuales encuentran su destino final frente a la costa peruana) y el sistema de corrientes de Perú (es decir, la región norte del sistema de corrientes de Humboldt) bajo condiciones climatológicas. Ambos modelos son idénticos en muchos aspectos (por ejemplo, flujos de calor y agua fresca de COADS, batimetría de ETOPO, vientos de QuikSCAT) excepto en las condiciones de frontera. Una configuración emplea un modelo océanico de circulación general (OCCAM) y el otro usa un modelo oceánico de asimilación de datos (SODA). Además, se hace uso de un modulo lagrangiano para calcular las trayectorias  de flotadores numéricos usando los campos de velocidad de los modelos configurados. Ambas configuraciones son validadas (es contrastadas con los datos) con diferentes fuentes de datos observaciones libres (por ejemplo: WOA), muestra que ambas modelos pueden reproducir la dinámica conocida de la región de estudio.</w:t>
      </w:r>
    </w:p>
    <w:p/>
    <w:p>
      <w:pPr/>
      <w:r>
        <w:rPr>
          <w:rStyle w:val="rStyle"/>
        </w:rPr>
        <w:t xml:space="preserve">Limitaciones de la investigación</w:t>
      </w:r>
    </w:p>
    <w:p>
      <w:pPr/>
      <w:r>
        <w:rPr/>
        <w:t xml:space="preserve">Aunque ambos modelos  fueron validados y muestra  reproducir la dinámica conocida de la región de estudio, no se emplearon datos de corrientes in situ. Por lo que, lo mostrado por la moderación numérica sigue siendo una hipótesis que requiere ser resulta con los datos observacionales nacionales o regionales.</w:t>
      </w:r>
    </w:p>
    <w:p/>
    <w:p>
      <w:pPr/>
      <w:r>
        <w:rPr>
          <w:rStyle w:val="rStyle"/>
        </w:rPr>
        <w:t xml:space="preserve">Recomendaciones</w:t>
      </w:r>
    </w:p>
    <w:p>
      <w:pPr/>
      <w:r>
        <w:rPr/>
        <w:t xml:space="preserve">Se recomiendo analizar los datos observacionales colectados por las instituciones nacionales para corroborar el realismo de ambas simulaciones, lo cual permitirá también inferir la variabilidad asociada a las corrientes involucradas en este estudio respecto al cambio climático y sus implicancias en la biodiversidad y la biogeoquímica del océano.</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mar peruano</w:t>
      </w:r>
    </w:p>
    <w:p/>
    <w:p>
      <w:pPr/>
      <w:r>
        <w:rPr>
          <w:rStyle w:val="rStyle"/>
        </w:rPr>
        <w:t xml:space="preserve">Palabras clave:</w:t>
      </w:r>
    </w:p>
    <w:p>
      <w:pPr/>
      <w:r>
        <w:rPr/>
        <w:t xml:space="preserve">PCUC, transporte oceánico, corrientes oceánicas, corrientes subsuperficiales ecuatoriales, pSSCC, sSSCC, EUC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09jc0057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2025-12-17T01:26:29-05:00</dcterms:created>
  <dcterms:modified xsi:type="dcterms:W3CDTF">2025-12-17T01:26:29-05:00</dcterms:modified>
</cp:coreProperties>
</file>

<file path=docProps/custom.xml><?xml version="1.0" encoding="utf-8"?>
<Properties xmlns="http://schemas.openxmlformats.org/officeDocument/2006/custom-properties" xmlns:vt="http://schemas.openxmlformats.org/officeDocument/2006/docPropsVTypes"/>
</file>