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Atmospheric Aerosols and Air Quality in the 2022 Dry Season in Huancayo-Perú</w:t>
      </w:r>
    </w:p>
    <w:p>
      <w:hyperlink r:id="rId7" w:history="1">
        <w:r>
          <w:rPr>
            <w:color w:val="1d4ed8"/>
            <w:u w:val="single"/>
          </w:rPr>
          <w:t xml:space="preserve">https://doi.org/10.11137/1982-3908_2024_47_56253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Espesor Óptico de Aerosoles (AOD): Durante la estación seca de 2022, los valores de AOD oscilaron entre 0.06 y 0.22, con un máximo en abril (0.24) y un mínimo en junio (0.05).  
- Calidad del aire: Las concentraciones promedio diarias de PM2.5 y PM10 estuvieron por debajo de los estándares peruanos de calidad ambiental (50 μg/m³ y 100 μg/m³). La calidad del aire se clasificó como "buena" en el 98% del tiempo y "moderada" en algunos días específicos.  
- Radiación directa: El Forzamiento Radiativo Directo de Aerosoles (ARDF) en el tope de la atmósfera osciló entre -0.5 y 2.5 W/m², influenciado principalmente por el AOD y el albedo de dispersión simple.  
- Tamaño de partículas: Los aerosoles presentaron un carácter bimodal, predominando el modo grueso con radios promedio de 7 μm.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Instrumentación:  
  - Fotómetro Sun CIMEL de la red AERONET para medir propiedades ópticas de aerosoles.  
  - Sensor Purple Air para monitorear concentraciones de PM1.0, PM2.5 y PM10.  
- Análisis del ARDF: Se calcularon los valores usando parámetros como transmisión atmosférica, fracción de dispersión, y el AOD, aplicando ecuaciones basadas en estudios previos (Haywood &amp; Shine, 1995).  
- Índice de calidad del aire (AQI): El cálculo del AQI se realizó para PM2.5 y PM10, siguiendo estándares internacionales y peruanos.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Condiciones climáticas: El estudio se realizó solo bajo cielos despejados, excluyendo escenarios con alta nubosidad.  
- Cobertura temporal: Las observaciones abarcaron únicamente los meses de la estación seca, limitando su aplicabilidad a otras épocas del año.  
- Resolución espacial: Los resultados reflejan condiciones locales del Observatorio de Huancayo y pueden no ser extrapolables a otras regiones del Perú.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-Fortalecimiento del monitoreo: Ampliar las mediciones en otras estaciones de la región andina para mejorar la representatividad espacial.  
- Modelos climáticos: Incorporar los resultados en modelos climáticos para evaluar mejor el impacto de los aerosoles en el balance radiativo y el clima regional.  
- Políticas públicas: Desarrollar estrategias para mitigar fuentes de emisión de aerosoles, especialmente en zonas urbanas y rurales afectadas por quema de biomasa.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Energía,  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Huancayo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Aerosoles atmosféricos,  calidad del aire,  estación seca,  espesor óptico de aerosoles,  PM2.5,  PM10,  forzamiento radiativo directo.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37/1982-3908_2024_47_5625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2026-11-08T01:16:46-05:00</dcterms:created>
  <dcterms:modified xsi:type="dcterms:W3CDTF">2026-11-08T01:16:46-05:00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