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Changing El Niño–Southern Oscillation in a warming climate</w:t>
      </w:r>
    </w:p>
    <w:p>
      <w:hyperlink r:id="rId7" w:history="1">
        <w:r>
          <w:rPr>
            <w:color w:val="1d4ed8"/>
            <w:u w:val="single"/>
          </w:rPr>
          <w:t xml:space="preserve">https://doi.org/10.1038/s43017-021-00199-z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Takahashi Guevara Ken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Datos observacionales indican un aumento de 20% de 1901-1960 a 1961-2020 en la variabilidad de la temperatura superficial del mar en el Pacífico ecuatorial oriental y central.
- La frecuencia de eventos El Niño extremos en el Pacífico oriental aumentaría en 59% entre los siglos XX y XXI con el cambio climático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consideraron simulaciones con modelos climáticos globales CMIP5 y CMIP6 que representan razonablemente la distinción entre eventos del Pacífico central y oriental.
La variabilidad de El Niño y La Niña en los modelos climáticos se evaluó considerando los índices E y C para el Pacífico oriental y central, respectivamente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incertidumbre previa a 1950 por la escasez de datos y problemas de muestreo limita la interpretación de los cambios observacionales.
Diversos sesgos en los modelos climáticos implican incertidumbre en la proyección de cambios  en el clima promedio y en El Niño y La Niña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Mar peruano,  costa norte y centro,  Tumbes,  Piura,  Lambayeque,  La Libertad,  Ancash,  Lima,  Ica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El Niño, ENSO, ENOS, Oscilación Sur, El Niño extremo, Pacífico oriental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38/s43017-021-00199-z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2026-11-08T01:16:27-05:00</dcterms:created>
  <dcterms:modified xsi:type="dcterms:W3CDTF">2026-11-08T01:16:27-05:00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