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Ecosystems, watersheds and water rights in Cajamarca, Peru</w:t>
      </w:r>
    </w:p>
    <w:p>
      <w:hyperlink r:id="rId7" w:history="1">
        <w:r>
          <w:rPr>
            <w:color w:val="1d4ed8"/>
            <w:u w:val="single"/>
          </w:rPr>
          <w:t xml:space="preserve">https://doi.org/10.1080/27706869.2024.2334533</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El artículo demuestra que, en Santa Cruz (Cajamarca), los derechos locales sobre el agua se reconfiguran en contextos de conflicto socioambiental y dejan de referirse solo al acceso o uso del recurso para abarcar cabeceras de cuenca, ecosistemas y el entorno por donde el agua fluye. La autora concluye que agricultores y rondas campesinas ensamblan saberes locales y discursos ambientales globales para defender agua como recurso y como naturaleza frente a la minería de La Zanja. El caso evidencia que la disputa no es únicamente por caudales o calidad, sino por la integridad ecosistémica de la cuenca y por el reconocimiento jurídico-político de esa interdependencia.</w:t>
      </w:r>
    </w:p>
    <w:p/>
    <w:p>
      <w:pPr/>
      <w:r>
        <w:rPr>
          <w:rStyle w:val="rStyle"/>
        </w:rPr>
        <w:t xml:space="preserve">Metodología y datos</w:t>
      </w:r>
    </w:p>
    <w:p>
      <w:pPr/>
      <w:r>
        <w:rPr/>
        <w:t xml:space="preserve">La investigación es cualitativa y de estudio de caso, centrada en la mina La Zanja y el conflicto hídrico-ambiental en Santa Cruz, Cajamarca. La autora sintetiza información obtenida mediante entrevistas a expertos, observación de campo, documentos legales de archivos gubernamentales correspondientes a 2012, informes de organizaciones sociales y ONG, además de literatura académica sobre extractivismo, pluralismo jurídico, derechos de la naturaleza y gestión del agua en los Andes. El análisis reconstruye la evolución de los reclamos locales entre 2003 y 2012, incluyendo ordenanzas, protestas, marcos como el Convenio 169 de la OIT y la Ley de Recursos Hídricos 29338.</w:t>
      </w:r>
    </w:p>
    <w:p/>
    <w:p>
      <w:pPr/>
      <w:r>
        <w:rPr>
          <w:rStyle w:val="rStyle"/>
        </w:rPr>
        <w:t xml:space="preserve">Limitaciones de la investigación</w:t>
      </w:r>
    </w:p>
    <w:p>
      <w:pPr/>
      <w:r>
        <w:rPr/>
        <w:t xml:space="preserve">El estudio no realiza mediciones hidrológicas propias ni modelación biofísica de caudales, calidad de agua o impactos climáticos; su evidencia proviene principalmente de fuentes cualitativas, documentales y testimoniales. Además, se concentra en un caso territorial específico y en un periodo de conflicto determinado, por lo que la generalización hacia otras cuencas andinas requiere cautela. También reconoce vacíos de información sobre derechos locales de agua en la cuenca alta de Santa Cruz.</w:t>
      </w:r>
    </w:p>
    <w:p/>
    <w:p>
      <w:pPr/>
      <w:r>
        <w:rPr>
          <w:rStyle w:val="rStyle"/>
        </w:rPr>
        <w:t xml:space="preserve">Recomendaciones</w:t>
      </w:r>
    </w:p>
    <w:p>
      <w:pPr/>
      <w:r>
        <w:rPr/>
        <w:t xml:space="preserve">Fortalecer la protección de cabeceras de cuenca, bofedales, manantiales y bosques montanos como parte sustantiva de la seguridad hídrica; incorporar enfoques de cuenca y de derechos de la naturaleza en la gobernanza del agua; mejorar la participación efectiva de usuarios de agua de cuenca alta, media y baja en decisiones sobre proyectos extractivos; cerrar brechas de información sobre derechos locales de agua en Santa Cruz; y desarrollar investigación interdisciplinaria que combine análisis jurídico, monitoreo hidroecológico y evaluación de impactos acumulativos de minería sobre provisión de agua y servicios ecosistémicos.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Perú,  Cajamarca,  Santa Cruz,  Pulán,  Tongod,  San Miguel,  cuenca Chancay-Lambayeque,  río El Cedro,  río Pisit,  río Cañad,  Lambayeque</w:t>
      </w:r>
    </w:p>
    <w:p/>
    <w:p>
      <w:pPr/>
      <w:r>
        <w:rPr>
          <w:rStyle w:val="rStyle"/>
        </w:rPr>
        <w:t xml:space="preserve">Palabras clave:</w:t>
      </w:r>
    </w:p>
    <w:p>
      <w:pPr/>
      <w:r>
        <w:rPr/>
        <w:t xml:space="preserve">derechos de agua,  cuencas hidrográficas,  ecosistemas andinos,  minería,  pluralismo jurídico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27706869.2024.233453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2026-07-22T19:41:47-05:00</dcterms:created>
  <dcterms:modified xsi:type="dcterms:W3CDTF">2026-07-22T19:41:47-05:00</dcterms:modified>
</cp:coreProperties>
</file>

<file path=docProps/custom.xml><?xml version="1.0" encoding="utf-8"?>
<Properties xmlns="http://schemas.openxmlformats.org/officeDocument/2006/custom-properties" xmlns:vt="http://schemas.openxmlformats.org/officeDocument/2006/docPropsVTypes"/>
</file>