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Modeling drought mortality and resilience of savannas and forests in tropical Asia</w:t>
      </w:r>
    </w:p>
    <w:p>
      <w:hyperlink r:id="rId7" w:history="1">
        <w:r>
          <w:rPr>
            <w:color w:val="1d4ed8"/>
            <w:u w:val="single"/>
          </w:rPr>
          <w:t xml:space="preserve">https://doi.org/10.1016/j.ecolmodel.2024.110783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modelo de vegetación dinámica que permite la representación dinámica de caracteres de las plantas para la región tropical de Asia, las disminuciones de la biomasa, caracteres y mortalidad de la vegetación son notables bajo escenarios de sequías futuras y repetidas. En dichos experimentos de sequías, los impactos de las sequías en la vegetación fueron reversibles y los árboles más altos, más viejos y de menor resistencia ante sequías fueron las más afectadas por la mortalidad. La recuperación bajo el peor escenario (5 años de sequía) fue posible gracias al ajuste comunitario a condiciones más resilientes ante sequías, lo que constituye una forma de adaptación (permitida en el modelo). Estos resultados sugieren que el bosque tropical asiático puede ser resiliente ante escenarios futuros de sequías, aunque mejoras en los procesos siguen siendo necesarias para una mejor representación de la mortalidad del bosque inducida por sequías y su recuperación.</w:t>
      </w:r>
    </w:p>
    <w:p/>
    <w:p>
      <w:pPr/>
      <w:r>
        <w:rPr>
          <w:rStyle w:val="rStyle"/>
        </w:rPr>
        <w:t xml:space="preserve">Metodología y datos</w:t>
      </w:r>
    </w:p>
    <w:p>
      <w:pPr/>
      <w:r>
        <w:rPr/>
        <w:t xml:space="preserve">El modelo de vegetación dinámica aDGVM2 fue utilizado para 10 sitios experimentales (uno en un bioma desértico, 2 en biomas tropicales y subtropicales de bosques secos de hoja ancha y 7 en biomas tropicales y subtropicales de bosques lluviosos de hoja ancha). Luego de spin-ups de cerca de 500 años, se corrió el modelo para los años 1950 al 2099 forzado por el GCM GFDL-ESM2M bajo el escenario RCP8.5. Se desactivaron los incendios. Los escenarios de sequía multianual fueron 2: i) 2 sequías iniciadas en los años 2000 y 2040 bajo duraciones de 1, 2, 3, 4 y 5 años, en donde la precipitación de los 3 meses más lluviosos fue reducida en 90% y ii) similar al anterior, pero solo con la sequía del 2040. Por cada uno de los 10 sitios bajo las 5 duraciones de los escenarios de sequía, se realizaron 15 simulaciones de réplica para tener en cuenta los procesos aleatorios y de inicialización de los caracteres (750 simulaciones en total). Los cambios fueron cuantificados para el año previo a la sequía, el último año de la sequía, y el quinceavo año posterior al último año de sequía.</w:t>
      </w:r>
    </w:p>
    <w:p/>
    <w:p>
      <w:pPr/>
      <w:r>
        <w:rPr>
          <w:rStyle w:val="rStyle"/>
        </w:rPr>
        <w:t xml:space="preserve">Limitaciones de la investigación</w:t>
      </w:r>
    </w:p>
    <w:p>
      <w:pPr/>
      <w:r>
        <w:rPr/>
        <w:t xml:space="preserve">Los efectos de la mortalidad post-sequía no fueron del todo evaluados. Si bien un modelo que permite la representación de la vegetación basada en sus caracteres es un avance, este todavía posee limitaciones en la representación del daño del xilema, procesos de adaptación y aclimatación, así como de la representación de costos de reparación de tejidos luego del daño por las sequías (que afecta a la recuperación y es una forma de “memoria” de las sequías). Los escenarios de 1-5 años de sequías fueron basados en episodios pasados en el continente, pero al estar impuestas en un modelo de vegetación dinámica, no permiten la producción de feedbacks con el clima, que podría ser posible en experimentos de modelos del sistema tierra.</w:t>
      </w:r>
    </w:p>
    <w:p/>
    <w:p>
      <w:pPr/>
      <w:r>
        <w:rPr>
          <w:rStyle w:val="rStyle"/>
        </w:rPr>
        <w:t xml:space="preserve">Recomendaciones</w:t>
      </w:r>
    </w:p>
    <w:p>
      <w:pPr/>
      <w:r>
        <w:rPr/>
        <w:t xml:space="preserve">El uso de modelos de vegetación dinámica con una representación explícita de caracteres en vez de tipos funcionales de planta ya fijados podría ser una alternativa para el modelamiento de procesos asociados a la mortalidad por sequías en bosques tropicales como la Amazonía. Sería interesante tener un modelo similar calibrado y validado para la Amazonía y acoplado en un modelo del sistema tierra para experimentos sobre escenarios futuros del clima, particularmente sobre sequías e impactos del cambio climático y deforestación.</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Asia tropical</w:t>
      </w:r>
    </w:p>
    <w:p/>
    <w:p>
      <w:pPr/>
      <w:r>
        <w:rPr>
          <w:rStyle w:val="rStyle"/>
        </w:rPr>
        <w:t xml:space="preserve">Palabras clave:</w:t>
      </w:r>
    </w:p>
    <w:p>
      <w:pPr/>
      <w:r>
        <w:rPr/>
        <w:t xml:space="preserve">Mortalidad por sequías, modelo de vegetación dinámica, recuperación,  resiliencia, Bosques y sabanas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model.2024.11078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2026-05-18T12:07:19-05:00</dcterms:created>
  <dcterms:modified xsi:type="dcterms:W3CDTF">2026-05-18T12:07:19-05:00</dcterms:modified>
</cp:coreProperties>
</file>

<file path=docProps/custom.xml><?xml version="1.0" encoding="utf-8"?>
<Properties xmlns="http://schemas.openxmlformats.org/officeDocument/2006/custom-properties" xmlns:vt="http://schemas.openxmlformats.org/officeDocument/2006/docPropsVTypes"/>
</file>