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encontró que las regiones de la Amazonia, históricamente más estables, presentan mayores niveles de especialización y originalidad funcional en los ensambles de peces, en comparación con la Caatinga, una región con mayor frecuencia de perturbaciones históricas. A nivel local y regional, la estabilidad histórica favoreció la especialización funcional y la diversidad taxonómica en la Amazonia. Los ensambles de la Caatinga, por el contrario, mostraron una mayor redundancia funcional. Simulaciones de extinción revelaron que la pérdida de especies funcionalmente especializadas y originales afectaría más severamente la estructura funcional en la Amazonia que en la Caatinga.</w:t>
      </w:r>
    </w:p>
    <w:p/>
    <w:p>
      <w:pPr/>
      <w:r>
        <w:rPr>
          <w:rStyle w:val="rStyle"/>
        </w:rPr>
        <w:t xml:space="preserve">Metodología y datos</w:t>
      </w:r>
    </w:p>
    <w:p>
      <w:pPr/>
      <w:r>
        <w:rPr/>
        <w:t xml:space="preserve">Se emplearon inventarios de peces de corrientes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y la Caatinga en Brasil.</w:t>
      </w:r>
    </w:p>
    <w:p/>
    <w:p>
      <w:pPr/>
      <w:r>
        <w:rPr>
          <w:rStyle w:val="rStyle"/>
        </w:rPr>
        <w:t xml:space="preserve">Palabras clave:</w:t>
      </w:r>
    </w:p>
    <w:p>
      <w:pPr/>
      <w:r>
        <w:rPr/>
        <w:t xml:space="preserve">Biogeografía funcional, estructura funcional, factores históricos, aguas dulces neotropicales,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2026-07-23T04:38:59-05:00</dcterms:created>
  <dcterms:modified xsi:type="dcterms:W3CDTF">2026-07-23T04:38:59-05:00</dcterms:modified>
</cp:coreProperties>
</file>

<file path=docProps/custom.xml><?xml version="1.0" encoding="utf-8"?>
<Properties xmlns="http://schemas.openxmlformats.org/officeDocument/2006/custom-properties" xmlns:vt="http://schemas.openxmlformats.org/officeDocument/2006/docPropsVTypes"/>
</file>