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Embedding circularity into the transition towards sustainable agroforestry systems in Peru</w:t>
      </w:r>
    </w:p>
    <w:p>
      <w:hyperlink r:id="rId7" w:history="1">
        <w:r>
          <w:rPr>
            <w:color w:val="1d4ed8"/>
            <w:u w:val="single"/>
          </w:rPr>
          <w:t xml:space="preserve">https://doi.org/10.1016/j.scitotenv.2022.156376</w:t>
        </w:r>
      </w:hyperlink>
    </w:p>
    <w:p/>
    <w:p/>
    <w:p>
      <w:pPr/>
      <w:r>
        <w:rPr>
          <w:rStyle w:val="rStyle"/>
        </w:rPr>
        <w:t xml:space="preserve">Intérprete</w:t>
      </w:r>
    </w:p>
    <w:p>
      <w:pPr/>
      <w:r>
        <w:rPr/>
        <w:t xml:space="preserve">Carhuancho León Fanny Mabel</w:t>
      </w:r>
    </w:p>
    <w:p/>
    <w:p>
      <w:pPr/>
      <w:r>
        <w:rPr>
          <w:rStyle w:val="rStyle"/>
        </w:rPr>
        <w:t xml:space="preserve">Revisor(a)</w:t>
      </w:r>
    </w:p>
    <w:p>
      <w:pPr/>
      <w:r>
        <w:rPr/>
        <w:t xml:space="preserve">Carhuancho León Fanny Mabel</w:t>
      </w:r>
    </w:p>
    <w:p/>
    <w:p>
      <w:pPr/>
      <w:r>
        <w:rPr>
          <w:rStyle w:val="rStyle"/>
        </w:rPr>
        <w:t xml:space="preserve">Resultados y conclusiones</w:t>
      </w:r>
    </w:p>
    <w:p>
      <w:pPr/>
      <w:r>
        <w:rPr/>
        <w:t xml:space="preserve">Elaborar compost con restos de comida en Chachapoyas, Cajamarca, Huancayo y Tarapoto reducirá significativamente la contaminación, liberando apenas entre el 5 y 10% de los gases contaminantes (CO2) que generan los botaderos o rellenos sanitarios. Esto evitaría más de 92 000 toneladas de CO2 al año y se obtendría más de 20 000 toneladas de compost para restaurar los suelos. No obstante, esta producción solo alcanza para fertilizar menos del 3% de los cafetales con permisos agrícolas (CUSAF) y un 4% de los pastizales locales. Si bien se podría traer compost desde Lima, trasladarlo aumentaría la contaminación por transporte entre un 15% y 60%. Por ello, para elevar su impacto sin contaminar por fletes lejanos, se requiere enriquecer el compost con estiércol para aportar nitrógeno, aprovechar su capacidad para reducir la acidez e incrementar el fósforo del suelo, otorgar subsidios o pagos por conservación de bosques e instalar infraestructura para separar los residuos desde el hogar.</w:t>
      </w:r>
    </w:p>
    <w:p/>
    <w:p>
      <w:pPr/>
      <w:r>
        <w:rPr>
          <w:rStyle w:val="rStyle"/>
        </w:rPr>
        <w:t xml:space="preserve">Metodología y datos</w:t>
      </w:r>
    </w:p>
    <w:p>
      <w:pPr/>
      <w:r>
        <w:rPr/>
        <w:t xml:space="preserve">Para evaluar cómo aprovechar los residuos orgánicos en la agricultura, el estudio analizó cuatro regiones cafetaleras: Amazonas, Cajamarca, Junín y San Martín. Primero, se estimó la superficie agrícola que podría beneficiarse mediante los contratos de permisos Agroforestales (CUSAF). En paralelo, se midió el desperdicio de alimentos en hogares y mercados de sus principales ciudades (Chachapoyas, Cajamarca, Huancayo y Tarapoto) calculando la contaminación que generan al descomponerse. Luego, se estimó cuánto compost se obtendría al procesar estos residuos cerca de las ciudades urbanas para para acortar las distancias de transporte hacia los cultivos de café y pastizales. Finalmente, se evaluó la capacidad de este compost para cubrir los requerimientos de nutrientes del café (90 kg de nitrógeno por hectárea) y  de los pastizales (40 kg de fósforo por hectárea)</w:t>
      </w:r>
    </w:p>
    <w:p/>
    <w:p>
      <w:pPr/>
      <w:r>
        <w:rPr>
          <w:rStyle w:val="rStyle"/>
        </w:rPr>
        <w:t xml:space="preserve">Limitaciones de la investigación</w:t>
      </w:r>
    </w:p>
    <w:p>
      <w:pPr/>
      <w:r>
        <w:rPr/>
        <w:t xml:space="preserve">Desde el aspecto técnico, el estudio estimó la producción de compost usando solo restos de comida de las ciudades, omitiendo los desechos del propio café que los agricultores deben reponer en sus parcelas y requiriendo mezclas con estiércol para aportar el nitrógeno necesario. En el aspecto social y geográfico, los cálculos se basan en una cifra nacional donde solo el 20% del desperdicio de alimentos ocurre en las ciudades, excluyendo al 80% generado en los campos y a las familias de zonas rurales, además de carecer de un mapa detallado para ubicar los desechos cerca de las parcelas con permisos agrícolas (CUSAF). En el aspecto sociopolítico y económico, la investigación propone entregar el compost mediante subsidios o apoyos estatales en especie; sin embargo, no calcula los costos reales de su producción y transporte, ni establece mecanismos para evitar que la mejora en la fertilidad del suelo genere un "efecto rebote" de deforestación sin un control territorial estricto.</w:t>
      </w:r>
    </w:p>
    <w:p/>
    <w:p>
      <w:pPr/>
      <w:r>
        <w:rPr>
          <w:rStyle w:val="rStyle"/>
        </w:rPr>
        <w:t xml:space="preserve">Recomendaciones</w:t>
      </w:r>
    </w:p>
    <w:p>
      <w:pPr/>
      <w:r>
        <w:rPr/>
        <w:t xml:space="preserve">Las autoridades y tomadores de decisiones deben promover alianzas estratégicas entre municipalidades, empresas privadas y asociaciones de agricultores para asegurar la producción continua de compost y dinamizar la economía local. Para garantizar la viabilidad de los proyectos, es clave evaluar el potencial regional de residuos y planificar las rutas de transporte, evitando fletes lejanos que incrementen los costos y la contaminación. Asimismo, las autoridades deben incentivar que el compost se enriquezca con guano de las islas, estiércol o microorganismos para elevar su contenido de nitrógeno, además de ampliar la recolección hacia los desechos de las cosechas. Finalmente, el Estado debe otorgar incentivos económicos o subsidios en especie bajo esquemas de conservación (como REDD+) e implementar la infraestructura necesaria para la separación obligatoria de residuos orgánicos en hogares y mercados.</w:t>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  Desechos</w:t>
      </w:r>
    </w:p>
    <w:p/>
    <w:p>
      <w:pPr/>
      <w:r>
        <w:rPr>
          <w:rStyle w:val="rStyle"/>
        </w:rPr>
        <w:t xml:space="preserve">Escala:</w:t>
      </w:r>
    </w:p>
    <w:p>
      <w:pPr/>
      <w:r>
        <w:rPr/>
        <w:t xml:space="preserve">Regional </w:t>
      </w:r>
    </w:p>
    <w:p/>
    <w:p>
      <w:pPr/>
      <w:r>
        <w:rPr>
          <w:rStyle w:val="rStyle"/>
        </w:rPr>
        <w:t xml:space="preserve">Ámbito geográfico:</w:t>
      </w:r>
    </w:p>
    <w:p>
      <w:pPr/>
      <w:r>
        <w:rPr/>
        <w:t xml:space="preserve">San Martín, Amazonas , Cajamarca , Junin</w:t>
      </w:r>
    </w:p>
    <w:p/>
    <w:p>
      <w:pPr/>
      <w:r>
        <w:rPr>
          <w:rStyle w:val="rStyle"/>
        </w:rPr>
        <w:t xml:space="preserve">Palabras clave:</w:t>
      </w:r>
    </w:p>
    <w:p>
      <w:pPr/>
      <w:r>
        <w:rPr/>
        <w:t xml:space="preserve">reducción de emisiones GEI, compostaje municipal, restauración de suelos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5637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