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Photosynthesis in fruit crops of the high tropical Andes: A systematic review</w:t>
      </w:r>
    </w:p>
    <w:p>
      <w:hyperlink r:id="rId7" w:history="1">
        <w:r>
          <w:rPr>
            <w:color w:val="1d4ed8"/>
            <w:u w:val="single"/>
          </w:rPr>
          <w:t xml:space="preserve">https://doi.org/10.15446/agron.colomb.v42n2.113887</w:t>
        </w:r>
      </w:hyperlink>
    </w:p>
    <w:p/>
    <w:p/>
    <w:p>
      <w:pPr/>
      <w:r>
        <w:rPr>
          <w:rStyle w:val="rStyle"/>
        </w:rPr>
        <w:t xml:space="preserve">Intérprete</w:t>
      </w:r>
    </w:p>
    <w:p>
      <w:pPr/>
      <w:r>
        <w:rPr/>
        <w:t xml:space="preserve">Silva Diaz Carmen Cecilia</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El review consolidad los principales y recientes avances en el estudio de la fotosíntesis de cultivos frutales de Los Andes tropicales. Se mencionan estudios en cultivos frutales de solanaceas como el aguaymanto, pasifloraceas y mirtáceas. Los autores consideran importante estudiar la fotosíntesis para generar estrategias para incrementar la calidad y el rendimiento de los cultivos en mención con creciente importancia económica a nivel global.
El parámetro fotosintético estudiado con más frecuencia en estos estudios fue la fluorescencia de clorofila a (Fv/Fm).</w:t>
      </w:r>
    </w:p>
    <w:p/>
    <w:p>
      <w:pPr/>
      <w:r>
        <w:rPr>
          <w:rStyle w:val="rStyle"/>
        </w:rPr>
        <w:t xml:space="preserve">Metodología y datos</w:t>
      </w:r>
    </w:p>
    <w:p>
      <w:pPr/>
      <w:r>
        <w:rPr/>
        <w:t xml:space="preserve">Análisis bibliométrico con paquete de R "Bibliometrix" y software VOSviewer version 1.6.16 para figuras.
Data bibliográfica de bases: Scopus y Web of Science en el periodo 2000-2023.
Ecuación de Búsqueda: TITLE-ABS-KEY (“cape gooseberry” OR “passion fruit” OR “lulo” OR “tree tomato” OR “feijoa” AND
photosynthesis AND NOT “yellow passion fruit”)</w:t>
      </w:r>
    </w:p>
    <w:p/>
    <w:p>
      <w:pPr/>
      <w:r>
        <w:rPr>
          <w:rStyle w:val="rStyle"/>
        </w:rPr>
        <w:t xml:space="preserve">Limitaciones de la investigación</w:t>
      </w:r>
    </w:p>
    <w:p>
      <w:pPr/>
      <w:r>
        <w:rPr/>
        <w:t xml:space="preserve">Casi no existen investigaciones sobre la fotosíntesis de especies frutales de Los Andes Tropicales a nivel morfológico, bioquímico y molecular. 
A pesar de la amplia diversidad vegetal en Los Andes Tropicales, los estudios regionales fueron hechos en Colombia y Brasil, y no se encontraron estudios de otros países como Perú.</w:t>
      </w:r>
    </w:p>
    <w:p/>
    <w:p>
      <w:pPr/>
      <w:r>
        <w:rPr>
          <w:rStyle w:val="rStyle"/>
        </w:rPr>
        <w:t xml:space="preserve">Recomendaciones</w:t>
      </w:r>
    </w:p>
    <w:p>
      <w:pPr/>
      <w:r>
        <w:rPr/>
        <w:t xml:space="preserve">Hacen falta estudios con parámetros de intercambio gaseoso (tasa fotosintética, conductancia estomática, transpiración, concentración intracelular de carbono) para entender a detalle el comportamiento fotosintético de especies frutales que crecen en los diferentes pisos edafoclimaticos de Los Andes.
En el contexto de cambio climático, ante una mayor concentración de CO2 atmosférico, las especies frutales de Los Andes Tropicales podrían tener potencial para desarrollarse mejor, pero no se sabrá si no se realizan estudios ecofisiologicos en esta región en específico.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Paises Andinos , Andes Tropicales, Sudamérica</w:t>
      </w:r>
    </w:p>
    <w:p/>
    <w:p>
      <w:pPr/>
      <w:r>
        <w:rPr>
          <w:rStyle w:val="rStyle"/>
        </w:rPr>
        <w:t xml:space="preserve">Palabras clave:</w:t>
      </w:r>
    </w:p>
    <w:p>
      <w:pPr/>
      <w:r>
        <w:rPr/>
        <w:t xml:space="preserve">Frutas exóticas,  Andes tropicales, frutas de altura, trópico altoandino, altitud geográfica , ecofisiología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446/agron.colomb.v42n2.1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2026-07-22T23:57:45-05:00</dcterms:created>
  <dcterms:modified xsi:type="dcterms:W3CDTF">2026-07-22T23:57:45-05:00</dcterms:modified>
</cp:coreProperties>
</file>

<file path=docProps/custom.xml><?xml version="1.0" encoding="utf-8"?>
<Properties xmlns="http://schemas.openxmlformats.org/officeDocument/2006/custom-properties" xmlns:vt="http://schemas.openxmlformats.org/officeDocument/2006/docPropsVTypes"/>
</file>