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Seasonal dynamics of an Antarctic krill resource hot spot in the Bransfield Strait, Antarctica</w:t>
      </w:r>
    </w:p>
    <w:p>
      <w:hyperlink r:id="rId7" w:history="1">
        <w:r>
          <w:rPr>
            <w:color w:val="1d4ed8"/>
            <w:u w:val="single"/>
          </w:rPr>
          <w:t xml:space="preserve">https://doi.org/10.1093/mcfafs/vtaf012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investigación muestra que la biomasa del Krill antártico presenta una variabilidad estacional muy marcada en el Estrecho de Bransfield, con valores mínimos hacia el fin del verano (febrero-marzo) y aumentos significativos durante el otoño (abril-mayo). Esta variabilidad estacional se asocia a un cambio las masas de agua, con predominio de aguas de mar de Bellinghausen (TBW por sus siglas en inglés) en verano y una mayor intrusión de aguas del mar de Weddell (TWW por sus siglas en inglés) en otoño.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base en la colección de datos acústicos recopilados por buques pesqueros de Krill durante las temperadas de pesca entre 2012/2013 y 2021/2022. . Además, para corroborar las tendencias observadas en los datos acústicos se analizaron los datos de captura por unidad de esfuerzo.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oceanográficos para establecer la dinámica física de la región de estudio provienen de productos de reanálisis oceanografícos y no de mediciones simultáneas in situ, esto podría estar limitando la interpretación de los resultados ya que los datos de reanálisis prodrían presentar sesgos en la región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importante revisar la información recopilada por los ANTAR (Campañas Científicas del Perú a la Antártida) a fin de complementar el presente estudio e investigar la dinámica del Krill en otras escalas de variabilidad. Además de validar los productos de reanálisis con datos in situ.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,  Turismo,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Estrecho de Bransfield, Antártida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variabilidad estacional, biomasa, krill antártico, masas de agua, TBW, TWW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93/mcfafs/vtaf01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2026-05-18T11:55:38-05:00</dcterms:created>
  <dcterms:modified xsi:type="dcterms:W3CDTF">2026-05-18T11:55:38-05:00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