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Mesoscale Convective Systems over Ecuador: Climatology, Trends and Teleconnections</w:t>
      </w:r>
    </w:p>
    <w:p>
      <w:hyperlink r:id="rId7" w:history="1">
        <w:r>
          <w:rPr>
            <w:color w:val="1d4ed8"/>
            <w:u w:val="single"/>
          </w:rPr>
          <w:t xml:space="preserve">https://doi.org/10.3390/atmos16101157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Chira Arica Marialejandra Vanessa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identificó 639 eventos de génesis de MCS en las seis regiones naturales de Ecuador entre 2001 y 2020, donde Amazonía-Norte mostró la mayor actividad (207 eventos) y Costa-Sur la menor (17 eventos); los MCS contribuyeron con un 26% a la precipitación total en promedio, alcanzando un máximo del 44% en Amazonía-Norte durante MAM (43% de todos los eventos a nivel nacional). Sierra-Norte exhibió una tendencia positiva significativa de 0,143 MCS/año en SON (p&lt;0,05). Las teleconexiones revelaron fuertes vínculos de Niño-1+2 con Costa-Norte (0,69 DJF), influencias atlánticas complejas en Sierra/Amazonía y efectos TNI contrastantes: positivos (0,73) en Amazonía-Norte de baja frecuencia, pero negativos (0,70) en Amazonía-Sur, lo que mejora la comprensión de los impulsores convectivos para la previsión y la gestión de riesgos.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analizó los MCS sobre el Ecuador continental (2°N-5°S, 82°-75°O) divididos en seis zonas (Costa/Sierra/Amazonía-Norte/Sur) utilizando una base de datos de imágenes satelitales infrarrojas de América del Sur (2001-2020), filtrada para eventos de fase génesis ≥40.000 km² de escudo de nubes frías (≤225K, ≥4h), lluvia máxima ≥10 mm/h y volumen ≥20.000 km²mm/h, produciendo 1.906 eventos en Ecuador complementados con precipitación GPM IMERG, estaciones INAMHI, índices oceánicos NOAA (Niño-1+2/3.4, TNI, TNA/TSA/AMM) y variables ERA5. Un enfoque de tres etapas en R/RStudio implicó filtrado espacial/de tipo, agregación espaciotemporal (mensual/estacional/diurna a través de mapas de calor/diagramas de caja), tendencias de pendiente de Mann-Kendall/Sen no paramétricas y correlaciones de Spearman en series brutas/con rezago de 3 meses más personalización wavelet MODWT (V1 de baja frecuencia, W1 de alta frecuencia) para detectar teleconexiones.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umbral de tamaño de MCS de 40 000 km² puede no tener en cuenta eventos más pequeños en comparación con estudios que utilizan 2000 km², lo que podría reducir las contribuciones de precipitación detectadas, aunque validadas por los datos de precipitación; el enfoque en la fase de génesis ignora la dinámica del ciclo de vida completo, lo que sesga la identificación de desencadenantes; el análisis limitado a 2001-2020 puede pasar por alto la variabilidad a más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ampliar el análisis incorporando umbrales de tamaño menores para capturar MCS pequeños que podrían aportar significativamente a la precipitación local, fortaleciendo así la comprensión de la distribución espacio-temporal de eventos convectivos relevantes para la gestión del agua. También sería útil incluir el ciclo de vida completo de los MCS y extender la serie temporal más allá de 2001-2020, lo que permitiría identificar patrones de variabilidad de mayor escala y mejorar la previsión operativa. Para aplicaciones de adaptación, se sugiere integrar las teleconexiones detectadas, especialmente las asociadas a Niño-1+2 y TNI, en sistemas de alerta hidrometeorológica, con el fin de anticipar eventos extremos y optimizar la gestión del riesgo en regiones como Amazonía-Norte y Sierra-Norte.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Ecuador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Precipitación, MCS, Teleconexiones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atmos1610115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2026-07-23T02:16:02-05:00</dcterms:created>
  <dcterms:modified xsi:type="dcterms:W3CDTF">2026-07-23T02:16:02-05:00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