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 Resilience Debt Drives NPP Decline in the Amazon Forest</w:t>
      </w:r>
    </w:p>
    <w:p>
      <w:hyperlink r:id="rId7" w:history="1">
        <w:r>
          <w:rPr>
            <w:color w:val="1d4ed8"/>
            <w:u w:val="single"/>
          </w:rPr>
          <w:t xml:space="preserve">https://doi.org/10.1029/2021gb007004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revela que los impactos de las sequías en la vegetación amazónica no solamente dependen de las reducciones en la precipitación durante ese año, sino que también depende de cómo el ecosistema se recupere de sus impactos. En particular, para las sequías del 2005, 2010 y 2015, la Amazonía tardó un año, 2 años y 4 años, respectivamente, en recuperar los niveles previos a las sequías de productividad de biomasa neta (NPP). Ello se debe a la magnitud de la perturbación, y/o a la duración de la perturbación. Al particionar NPP en sus componentes, la productividad primaria bruta (GPP) y la respiración autótrofa (R) (NPP = GPP - R), ambos tienen una relación positiva con los aumentos de temperatura y de radiación solar, aunque R tiende a aumentar más que GPP durante las sequías. Además, los árboles respiran más bajo condiciones de sequías, conllevando a disminuciones de NPP. Las tendencias de NPP entre 2003-2020 revelan aumentos en el sur de la Amazonía y disminuciones en la Amazonía central y la zona de transición Andes-Amazonía.</w:t>
      </w:r>
    </w:p>
    <w:p/>
    <w:p>
      <w:pPr/>
      <w:r>
        <w:rPr>
          <w:rStyle w:val="rStyle"/>
        </w:rPr>
        <w:t xml:space="preserve">Metodología y datos</w:t>
      </w:r>
    </w:p>
    <w:p>
      <w:pPr/>
      <w:r>
        <w:rPr/>
        <w:t xml:space="preserve">Se utilizaron datos de MODIS de GPP y NPP del producto MOD17A2 y MOD17A3, así como de temperatura superficial del producto MOD11C3. La radiación solar es de ERA-Interim y la precipitación es de TRMM y CHIRPS. Se calcularon índices relativos a NPP de i) perturbación de la sequía, ii) recuperación de la sequía y iii) deuda de recuperación de la sequía. Esto fue conducido tanto en regiones perturbadas y no perturbadas por las sequías (delimitado por SPEI). Las tendencias de NPP fueron calculadas con la prueba de Mann-Kendall y la relación de NPP, GPP y R con la radiación solar, temperatura superficial y precipitación fueron calculadas usando correlaciones lineales y regresiones múltiples.</w:t>
      </w:r>
    </w:p>
    <w:p/>
    <w:p>
      <w:pPr/>
      <w:r>
        <w:rPr>
          <w:rStyle w:val="rStyle"/>
        </w:rPr>
        <w:t xml:space="preserve">Limitaciones de la investigación</w:t>
      </w:r>
    </w:p>
    <w:p>
      <w:pPr/>
      <w:r>
        <w:rPr/>
        <w:t xml:space="preserve">Posibles incertidumbres instrumentales ya que se conocen algunos sesgos de subestimación de NPP por MODIS, en especial por el uso de sensores ópticos en vegetación densa. 
Los análisis fueron conducidos a nivel de toda la cuenca amazónica, y pudo realizarse una estratificación a distintas regiones de la Amazonía debido a la posibilidad de que las distintas estrategias de los árboles frente a las sequías influencien a las estadísticas sobre las relaciones con las variables meteorológicas.</w:t>
      </w:r>
    </w:p>
    <w:p/>
    <w:p>
      <w:pPr/>
      <w:r>
        <w:rPr>
          <w:rStyle w:val="rStyle"/>
        </w:rPr>
        <w:t xml:space="preserve">Recomendaciones</w:t>
      </w:r>
    </w:p>
    <w:p>
      <w:pPr/>
      <w:r>
        <w:rPr/>
        <w:t xml:space="preserve">Los mecanismos de recuperación y de memoria del sistema deben ser considerados al evaluar impactos de las sequías en la vegetación. Debe además buscarse una forma de representar dichos mecanismos en modelos de vegetación dinámica.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Bosque amazónico, stocks de carbono, sumidero de carbono, mortalidad por sequías, efectos de legado de las sequías,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gb007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2025-12-15T14:14:02-05:00</dcterms:created>
  <dcterms:modified xsi:type="dcterms:W3CDTF">2025-12-15T14:14:02-05:00</dcterms:modified>
</cp:coreProperties>
</file>

<file path=docProps/custom.xml><?xml version="1.0" encoding="utf-8"?>
<Properties xmlns="http://schemas.openxmlformats.org/officeDocument/2006/custom-properties" xmlns:vt="http://schemas.openxmlformats.org/officeDocument/2006/docPropsVTypes"/>
</file>