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y prospera y se mantiene con regularidad bajo cualquier exposición topográfica, sin embargo, las diferencias en el rendimiento de su biomasa de deben a la fertilidad de cada suelo. Se puedo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calcularon  el  contenido  de  carbono  almacenado</w:t>
      </w:r>
    </w:p>
    <w:p/>
    <w:p>
      <w:pPr/>
      <w:r>
        <w:rPr>
          <w:rStyle w:val="rStyle"/>
        </w:rPr>
        <w:t xml:space="preserve">Limitaciones de la investigación</w:t>
      </w:r>
    </w:p>
    <w:p>
      <w:pPr/>
      <w:r>
        <w:rPr/>
        <w:t xml:space="preserve">La investigación solo se centro en 3 especies de pastizales, sin embargo para tener una mejor comprensión de la comunidad de pastos hubiera sido mejor tomar muestras aleatorias de los mismos, en cada subparcela, es decir analizar la comunidad en su conjunto, de este modo se tendría indicios mas realistas del secuestro de carbono por parte de este tipo de ecosistemas.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2025-12-17T04:04:29-05:00</dcterms:created>
  <dcterms:modified xsi:type="dcterms:W3CDTF">2025-12-17T04:04:29-05:00</dcterms:modified>
</cp:coreProperties>
</file>

<file path=docProps/custom.xml><?xml version="1.0" encoding="utf-8"?>
<Properties xmlns="http://schemas.openxmlformats.org/officeDocument/2006/custom-properties" xmlns:vt="http://schemas.openxmlformats.org/officeDocument/2006/docPropsVTypes"/>
</file>