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Peru-Chile upwelling dynamics under climate change</w:t>
      </w:r>
    </w:p>
    <w:p>
      <w:hyperlink r:id="rId7" w:history="1">
        <w:r>
          <w:rPr>
            <w:color w:val="1d4ed8"/>
            <w:u w:val="single"/>
          </w:rPr>
          <w:t xml:space="preserve">https://doi.org/10.1002/2014JC010299</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La temperatura superficial del mar cerca de la costa peruana incrementa aproximadamente 3ºC en el escenario climático que duplica la concentración de CO2 (2CO2) en la atmósfera; mientras que, incrementa aproximadamente 7ºC en el escenario climático que cuatriplica la concentración de CO2 (4CO2) en la atmósfera. El transporte de Ekman decrece al igual que el transporte que cruza la costa en ambos escenarios de cambio climático propuestos.</w:t>
      </w:r>
    </w:p>
    <w:p/>
    <w:p>
      <w:pPr/>
      <w:r>
        <w:rPr>
          <w:rStyle w:val="rStyle"/>
        </w:rPr>
        <w:t xml:space="preserve">Metodología y datos</w:t>
      </w:r>
    </w:p>
    <w:p>
      <w:pPr/>
      <w:r>
        <w:rPr/>
        <w:t xml:space="preserve">Se utilizan simulaciones oceánicas regionales forzadas mediante un downscaling (regionalización) dinámico del modelo global de circulación general (CGCM, por sus siglas en inglés) IPSL-CM4  bajo escenarios de cambio climático aumentando la concentración de CO2, duplicando (2CO2) y cuadriplicando(4CO2).</w:t>
      </w:r>
    </w:p>
    <w:p/>
    <w:p>
      <w:pPr/>
      <w:r>
        <w:rPr>
          <w:rStyle w:val="rStyle"/>
        </w:rPr>
        <w:t xml:space="preserve">Limitaciones de la investigación</w:t>
      </w:r>
    </w:p>
    <w:p>
      <w:pPr/>
      <w:r>
        <w:rPr/>
        <w:t xml:space="preserve">Las salidas de los modelos generados podrían tener sesgo relacionadas con el estado medio del forzante, debido a que se usaron los campos atmosféricos del modelo de circulación general acoplados (CGCM, por sus siglas en inglés) proyecto y las climatologías observadas.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temperatura superficial del mar, transporte de Ekman, transporte, downscaling, modelo global de circulación general, CGCM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102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2026-05-18T12:07:04-05:00</dcterms:created>
  <dcterms:modified xsi:type="dcterms:W3CDTF">2026-05-18T12:07:04-05:00</dcterms:modified>
</cp:coreProperties>
</file>

<file path=docProps/custom.xml><?xml version="1.0" encoding="utf-8"?>
<Properties xmlns="http://schemas.openxmlformats.org/officeDocument/2006/custom-properties" xmlns:vt="http://schemas.openxmlformats.org/officeDocument/2006/docPropsVTypes"/>
</file>