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(52.25 % del total) y prospera y se mantiene con regularidad bajo cualquier exposición topográfica, sin embargo, las diferencias en el rendimiento de su biomasa de deben a la fertilidad de cada suelo. Asi mismo, el aporte de las especies Calamagrostis   vicunarum y Muhlenbergia  ligularis respecto al total fue de 24.05 % y 23.7% respectivamente. Se puede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calculo  el  contenido  de  carbono  almacenado por cada especie.</w:t>
      </w:r>
    </w:p>
    <w:p/>
    <w:p>
      <w:pPr/>
      <w:r>
        <w:rPr>
          <w:rStyle w:val="rStyle"/>
        </w:rPr>
        <w:t xml:space="preserve">Limitaciones de la investigación</w:t>
      </w:r>
    </w:p>
    <w:p>
      <w:pPr/>
      <w:r>
        <w:rPr/>
        <w:t xml:space="preserve">La investigación solo se centro en las 03 especies de pastos más abundantes.</w:t>
      </w:r>
    </w:p>
    <w:p/>
    <w:p>
      <w:pPr/>
      <w:r>
        <w:rPr>
          <w:rStyle w:val="rStyle"/>
        </w:rPr>
        <w:t xml:space="preserve">Recomendaciones</w:t>
      </w:r>
    </w:p>
    <w:p>
      <w:pPr/>
      <w:r>
        <w:rPr/>
        <w:t xml:space="preserve">Para tener una mejor comprensión de la comunidad de pastos hubiera sido mejor analizar la comunidad en su conjunto, de este modo se tendría indicios más realistas del secuestro de carbono por parte de este tipo de ecosistemas.</w:t>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2026-04-02T06:27:47-05:00</dcterms:created>
  <dcterms:modified xsi:type="dcterms:W3CDTF">2026-04-02T06:27:47-05:00</dcterms:modified>
</cp:coreProperties>
</file>

<file path=docProps/custom.xml><?xml version="1.0" encoding="utf-8"?>
<Properties xmlns="http://schemas.openxmlformats.org/officeDocument/2006/custom-properties" xmlns:vt="http://schemas.openxmlformats.org/officeDocument/2006/docPropsVTypes"/>
</file>