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Woody vegetation dynamics in the tropical and subtropical Andes from 2001 to 2014: Satellite image interpretation and expert validation</w:t>
      </w:r>
    </w:p>
    <w:p>
      <w:hyperlink r:id="rId7" w:history="1">
        <w:r>
          <w:rPr>
            <w:color w:val="1d4ed8"/>
            <w:u w:val="single"/>
          </w:rPr>
          <w:t xml:space="preserve">https://doi.org/10.1111/gcb.14618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Saavedra Huanca Miguel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Por encimas de 1000 msnm se encuentra un aumento neto de arboles y arbustos debido a la reducción de la población rural y el consecuente abandono de los campos de cultivo y pastoreo. Debajo de 1500 msnm, se encuentra que hay una reducción significativa por el incremento de zonas de cultivo y pastoreo. Los cambios positivos o negativos no superan el 2%.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Utiliza datos Modis MOD13Q1 de 14 años y clasifica el land-use usando el modelo Random Forest. Se analiza según la elevación por encima de los 1000 msnm, regiones (paises) y variación de la población rural.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Datos solo hasta 2014. No se considera la region debajo de 1000 msnm.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Agricultura,  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Agricultura,  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Andes tropicales y subtropicales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Bosque, land-use, clasificación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111/gcb.14618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2026-11-08T00:40:08-05:00</dcterms:created>
  <dcterms:modified xsi:type="dcterms:W3CDTF">2026-11-08T00:40:08-05:00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