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Forzamiento radiativo directo debido a los aerosoles atmosféricos en Perú utilizando técnicas de sensoramiento remoto</w:t>
      </w:r>
    </w:p>
    <w:p>
      <w:hyperlink r:id="rId7" w:history="1">
        <w:r>
          <w:rPr>
            <w:color w:val="1d4ed8"/>
            <w:u w:val="single"/>
          </w:rPr>
          <w:t xml:space="preserve">https://doi.org/10.47797/llamkasun.v3i1.86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Espesor Óptico de Aerosol (EOA): El EOA máximo observado fue de 0.5, con concentraciones más altas en la costa peruana, atribuibles a fuentes como el tráfico vehicular. En la sierra y selva, los valores fueron significativamente más bajos.  
- Forzamiento Radiativo Directo (FRD):  
  - Los aerosoles influyen en la radiación solar que llega a la superficie, con un FRD estimado entre -5 y 0 W/m² en condiciones de cielo despejado.  
  - Este efecto puede disminuir la cantidad de radiación disponible en la superficie terrestre, afectando procesos climáticos y ecosistémicos.  
- Composición de los aerosoles: El coeficiente de Angstrom indicó una proporción mayor de partículas finas en zonas urbanas y partículas gruesas relacionadas con quema de biomasa e industrias.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Fuente de datos: Se utilizaron datos del sensor MODIS (MOD04) del satélite TERRA con una resolución espacial de 10 km, procesados mediante algoritmos Deep Blue (DB) y Dark Target (DT).  
- Cálculos del FRD: Basados en parámetros como el EOA, albedo, reflectancia de superficie, y constantes atmosféricas para cielos despejados, aplicando la ecuación de Haywood y Shine (1995).  
- Validación: Se emplearon valores de calidad Q = 3 para asegurar la precisión de los datos del EOA.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Cobertura espacial: Los resultados se limitan a áreas específicas del Perú y dependen de la resolución del sensor MODIS.  
- Factores atmosféricos: No se consideraron interacciones complejas como la formación de nubes o la influencia de vientos regionales.  
- Condiciones climáticas: Los cálculos se realizaron bajo cielos despejados, lo que excluye escenarios con alta nubosidad o precipitaciones.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Monitoreo continuo: Ampliar las mediciones de aerosoles con equipos en tierra y satelitales para mejorar la precisión y cobertura.  
- Modelos climáticos: Incorporar los efectos de los aerosoles en simulaciones climáticas para evaluar mejor su impacto en procesos locales y globales.  
- Políticas públicas: Diseñar estrategias para reducir emisiones de partículas finas en áreas urbanas y controlar fuentes industriales.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Aerosoles,  espesor óptico,  forzamiento radiativo directo,  MODIS,  satélite,  contaminación atmosférica.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7797/llamkasun.v3i1.8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2026-05-18T14:53:13-05:00</dcterms:created>
  <dcterms:modified xsi:type="dcterms:W3CDTF">2026-05-18T14:53:13-05:00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