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Forzamiento radiativo directo debido a los aerosoles atmosféricos en Perú utilizando técnicas de sensoramiento remoto</w:t>
      </w:r>
    </w:p>
    <w:p>
      <w:hyperlink r:id="rId7" w:history="1">
        <w:r>
          <w:rPr>
            <w:color w:val="1d4ed8"/>
            <w:u w:val="single"/>
          </w:rPr>
          <w:t xml:space="preserve">https://doi.org/10.47797/llamkasun.v3i1.86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Espesor Óptico de Aerosol (EOA): El EOA máximo observado fue de 0.5, con concentraciones más altas en la costa peruana, atribuibles a fuentes como el tráfico vehicular. En la sierra y selva, los valores fueron significativamente más bajos.  
- Forzamiento Radiativo Directo (FRD):  
  - Los aerosoles influyen en la radiación solar que llega a la superficie, con un FRD estimado entre -5 y 0 W/m² en condiciones de cielo despejado.  
  - Este efecto puede disminuir la cantidad de radiación disponible en la superficie terrestre, afectando procesos climáticos y ecosistémicos.  
- Composición de los aerosoles: El coeficiente de Angstrom indicó una proporción mayor de partículas finas en zonas urbanas y partículas gruesas relacionadas con quema de biomasa e industrias.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Fuente de datos: Se utilizaron datos del sensor MODIS (MOD04) del satélite TERRA con una resolución espacial de 10 km, procesados mediante algoritmos Deep Blue (DB) y Dark Target (DT).  
- Cálculos del FRD: Basados en parámetros como el EOA, albedo, reflectancia de superficie, y constantes atmosféricas para cielos despejados, aplicando la ecuación de Haywood y Shine (1995).  
- Validación: Se emplearon valores de calidad Q = 3 para asegurar la precisión de los datos del EOA.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Cobertura espacial: Los resultados se limitan a áreas específicas del Perú y dependen de la resolución del sensor MODIS.  
- Factores atmosféricos: No se consideraron interacciones complejas como la formación de nubes o la influencia de vientos regionales.  
- Condiciones climáticas: Los cálculos se realizaron bajo cielos despejados, lo que excluye escenarios con alta nubosidad o precipitaciones.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 Monitoreo continuo: Ampliar las mediciones de aerosoles con equipos en tierra y satelitales para mejorar la precisión y cobertura.  
- Modelos climáticos: Incorporar los efectos de los aerosoles en simulaciones climáticas para evaluar mejor su impacto en procesos locales y globales.  
- Políticas públicas: Diseñar estrategias para reducir emisiones de partículas finas en áreas urbanas y controlar fuentes industriales.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Aerosoles,  espesor óptico,  forzamiento radiativo directo,  MODIS,  satélite,  contaminación atmosférica.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47797/llamkasun.v3i1.8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2026-09-22T05:34:52-05:00</dcterms:created>
  <dcterms:modified xsi:type="dcterms:W3CDTF">2026-09-22T05:34:52-05:00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